
<file path=[Content_Types].xml><?xml version="1.0" encoding="utf-8"?>
<Types xmlns="http://schemas.openxmlformats.org/package/2006/content-types">
  <Default Extension="xml" ContentType="application/xml"/>
  <Default Extension="xlsx" ContentType="application/vnd.openxmlformats-officedocument.spreadsheetml.sheet"/>
  <Default Extension="wdp" ContentType="image/vnd.ms-photo"/>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宋体"/>
        </w:rPr>
      </w:pPr>
      <w:bookmarkStart w:id="0" w:name="_Toc465433464"/>
      <w:r>
        <w:rPr>
          <w:rFonts w:hint="eastAsia" w:ascii="宋体" w:hAnsi="宋体"/>
          <w:b/>
          <w:sz w:val="32"/>
          <w:szCs w:val="32"/>
        </w:rPr>
        <w:drawing>
          <wp:inline distT="0" distB="0" distL="0" distR="0">
            <wp:extent cx="1346835" cy="1346835"/>
            <wp:effectExtent l="0" t="0" r="5715" b="5715"/>
            <wp:docPr id="10" name="图片 1" descr="江服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江服LOG"/>
                    <pic:cNvPicPr>
                      <a:picLocks noChangeAspect="1" noChangeArrowheads="1"/>
                    </pic:cNvPicPr>
                  </pic:nvPicPr>
                  <pic:blipFill>
                    <a:blip r:embed="rId8" cstate="print"/>
                    <a:srcRect/>
                    <a:stretch>
                      <a:fillRect/>
                    </a:stretch>
                  </pic:blipFill>
                  <pic:spPr>
                    <a:xfrm>
                      <a:off x="0" y="0"/>
                      <a:ext cx="1346878" cy="1346878"/>
                    </a:xfrm>
                    <a:prstGeom prst="rect">
                      <a:avLst/>
                    </a:prstGeom>
                    <a:noFill/>
                    <a:ln w="9525">
                      <a:noFill/>
                      <a:miter lim="800000"/>
                      <a:headEnd/>
                      <a:tailEnd/>
                    </a:ln>
                  </pic:spPr>
                </pic:pic>
              </a:graphicData>
            </a:graphic>
          </wp:inline>
        </w:drawing>
      </w:r>
      <w:r>
        <w:rPr>
          <w:rFonts w:hint="eastAsia" w:eastAsia="宋体"/>
        </w:rPr>
        <w:t xml:space="preserve">     </w:t>
      </w:r>
    </w:p>
    <w:p>
      <w:pPr>
        <w:rPr>
          <w:rFonts w:eastAsia="宋体"/>
        </w:rPr>
      </w:pPr>
    </w:p>
    <w:p>
      <w:pPr>
        <w:jc w:val="center"/>
        <w:rPr>
          <w:rFonts w:eastAsia="宋体"/>
        </w:rPr>
      </w:pPr>
      <w:r>
        <w:rPr>
          <w:rFonts w:hint="eastAsia" w:eastAsia="宋体"/>
        </w:rPr>
        <w:t xml:space="preserve">                              </w:t>
      </w:r>
    </w:p>
    <w:p>
      <w:pPr>
        <w:jc w:val="center"/>
        <w:rPr>
          <w:rFonts w:ascii="宋体" w:hAnsi="宋体"/>
          <w:b/>
          <w:sz w:val="32"/>
          <w:szCs w:val="32"/>
        </w:rPr>
      </w:pPr>
      <w:r>
        <w:rPr>
          <w:rFonts w:ascii="宋体" w:hAnsi="宋体" w:cs="宋体"/>
          <w:sz w:val="24"/>
        </w:rPr>
        <w:drawing>
          <wp:inline distT="0" distB="0" distL="0" distR="0">
            <wp:extent cx="3657600" cy="785495"/>
            <wp:effectExtent l="0" t="0" r="0" b="14605"/>
            <wp:docPr id="14" name="图片 2" descr="@@I2L290D7]90Z}8XXA[M9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I2L290D7]90Z}8XXA[M9Q"/>
                    <pic:cNvPicPr>
                      <a:picLocks noChangeAspect="1" noChangeArrowheads="1"/>
                    </pic:cNvPicPr>
                  </pic:nvPicPr>
                  <pic:blipFill>
                    <a:blip r:embed="rId9" cstate="print"/>
                    <a:srcRect/>
                    <a:stretch>
                      <a:fillRect/>
                    </a:stretch>
                  </pic:blipFill>
                  <pic:spPr>
                    <a:xfrm>
                      <a:off x="0" y="0"/>
                      <a:ext cx="3657600" cy="785495"/>
                    </a:xfrm>
                    <a:prstGeom prst="rect">
                      <a:avLst/>
                    </a:prstGeom>
                    <a:noFill/>
                    <a:ln w="9525">
                      <a:noFill/>
                      <a:miter lim="800000"/>
                      <a:headEnd/>
                      <a:tailEnd/>
                    </a:ln>
                  </pic:spPr>
                </pic:pic>
              </a:graphicData>
            </a:graphic>
          </wp:inline>
        </w:drawing>
      </w:r>
    </w:p>
    <w:p>
      <w:pPr>
        <w:spacing w:line="360" w:lineRule="auto"/>
        <w:jc w:val="center"/>
        <w:rPr>
          <w:b/>
          <w:sz w:val="36"/>
          <w:szCs w:val="36"/>
        </w:rPr>
      </w:pPr>
      <w:r>
        <w:rPr>
          <w:b/>
          <w:sz w:val="36"/>
          <w:szCs w:val="36"/>
        </w:rPr>
        <w:t>Jiangxi Institute of Fashion Technology</w:t>
      </w:r>
    </w:p>
    <w:p>
      <w:pPr>
        <w:spacing w:line="200" w:lineRule="exact"/>
        <w:rPr>
          <w:rFonts w:ascii="Times New Roman" w:hAnsi="Times New Roman" w:eastAsia="宋体"/>
          <w:sz w:val="24"/>
        </w:rPr>
      </w:pPr>
      <w:r>
        <w:rPr>
          <w:rFonts w:hint="eastAsia" w:ascii="Times New Roman" w:hAnsi="Times New Roman" w:eastAsia="宋体"/>
          <w:sz w:val="24"/>
        </w:rPr>
        <w:t xml:space="preserve">            </w:t>
      </w:r>
    </w:p>
    <w:p>
      <w:pPr>
        <w:spacing w:line="0" w:lineRule="atLeast"/>
        <w:jc w:val="center"/>
        <w:rPr>
          <w:rFonts w:ascii="宋体" w:hAnsi="宋体" w:eastAsia="宋体"/>
          <w:b/>
          <w:sz w:val="68"/>
        </w:rPr>
      </w:pPr>
      <w:r>
        <w:rPr>
          <w:rFonts w:ascii="Arial" w:hAnsi="Arial" w:eastAsia="Arial"/>
          <w:b/>
          <w:sz w:val="68"/>
        </w:rPr>
        <w:t>2015</w:t>
      </w:r>
      <w:r>
        <w:rPr>
          <w:rFonts w:hint="eastAsia" w:ascii="Arial" w:hAnsi="Arial"/>
          <w:b/>
          <w:sz w:val="68"/>
        </w:rPr>
        <w:t>-2016学</w:t>
      </w:r>
      <w:r>
        <w:rPr>
          <w:rFonts w:ascii="宋体" w:hAnsi="宋体" w:eastAsia="宋体"/>
          <w:b/>
          <w:sz w:val="68"/>
        </w:rPr>
        <w:t>年本科教学质量报告</w:t>
      </w:r>
    </w:p>
    <w:p>
      <w:pPr>
        <w:spacing w:line="0" w:lineRule="atLeast"/>
        <w:rPr>
          <w:rFonts w:ascii="宋体" w:hAnsi="宋体" w:eastAsia="宋体"/>
          <w:b/>
          <w:sz w:val="68"/>
        </w:rPr>
      </w:pPr>
    </w:p>
    <w:p>
      <w:pPr>
        <w:spacing w:line="0" w:lineRule="atLeast"/>
        <w:rPr>
          <w:rFonts w:ascii="宋体" w:hAnsi="宋体" w:eastAsia="宋体"/>
          <w:b/>
          <w:sz w:val="68"/>
        </w:rPr>
      </w:pPr>
    </w:p>
    <w:p>
      <w:pPr>
        <w:spacing w:line="0" w:lineRule="atLeast"/>
        <w:rPr>
          <w:rFonts w:ascii="宋体" w:hAnsi="宋体" w:eastAsia="宋体"/>
          <w:b/>
          <w:sz w:val="68"/>
        </w:rPr>
      </w:pPr>
    </w:p>
    <w:p>
      <w:pPr>
        <w:spacing w:line="0" w:lineRule="atLeast"/>
        <w:rPr>
          <w:rFonts w:ascii="宋体" w:hAnsi="宋体" w:eastAsia="宋体"/>
          <w:b/>
          <w:sz w:val="68"/>
        </w:rPr>
      </w:pPr>
    </w:p>
    <w:p>
      <w:pPr>
        <w:spacing w:line="0" w:lineRule="atLeast"/>
        <w:rPr>
          <w:rFonts w:ascii="宋体" w:hAnsi="宋体" w:eastAsia="宋体"/>
          <w:b/>
          <w:sz w:val="68"/>
        </w:rPr>
      </w:pPr>
    </w:p>
    <w:p>
      <w:pPr>
        <w:spacing w:line="0" w:lineRule="atLeast"/>
        <w:rPr>
          <w:rFonts w:ascii="宋体" w:hAnsi="宋体" w:eastAsia="宋体"/>
          <w:b/>
          <w:sz w:val="68"/>
        </w:rPr>
      </w:pPr>
    </w:p>
    <w:p>
      <w:pPr>
        <w:spacing w:line="0" w:lineRule="atLeast"/>
        <w:jc w:val="center"/>
        <w:rPr>
          <w:rFonts w:ascii="宋体" w:hAnsi="宋体" w:eastAsia="宋体"/>
          <w:b/>
          <w:sz w:val="36"/>
          <w:szCs w:val="36"/>
        </w:rPr>
      </w:pPr>
      <w:r>
        <w:rPr>
          <w:rFonts w:hint="eastAsia" w:ascii="宋体" w:hAnsi="宋体" w:eastAsia="宋体"/>
          <w:b/>
          <w:sz w:val="36"/>
          <w:szCs w:val="36"/>
        </w:rPr>
        <w:t>江西服装学院 编</w:t>
      </w:r>
    </w:p>
    <w:p>
      <w:pPr>
        <w:spacing w:line="0" w:lineRule="atLeast"/>
        <w:jc w:val="center"/>
        <w:rPr>
          <w:rFonts w:ascii="宋体" w:hAnsi="宋体" w:eastAsia="宋体"/>
          <w:b/>
          <w:sz w:val="36"/>
          <w:szCs w:val="36"/>
        </w:rPr>
      </w:pPr>
      <w:r>
        <w:rPr>
          <w:rFonts w:hint="eastAsia" w:ascii="宋体" w:hAnsi="宋体" w:eastAsia="宋体"/>
          <w:b/>
          <w:sz w:val="36"/>
          <w:szCs w:val="36"/>
        </w:rPr>
        <w:t>二〇一六年十二月</w:t>
      </w:r>
    </w:p>
    <w:p>
      <w:pPr>
        <w:rPr>
          <w:lang w:val="zh-CN"/>
        </w:rPr>
      </w:pPr>
    </w:p>
    <w:p>
      <w:pPr>
        <w:pStyle w:val="27"/>
        <w:jc w:val="center"/>
        <w:rPr>
          <w:lang w:val="zh-CN"/>
        </w:rPr>
        <w:sectPr>
          <w:pgSz w:w="11906" w:h="16838"/>
          <w:pgMar w:top="1440" w:right="1800" w:bottom="1440" w:left="1800" w:header="851" w:footer="992" w:gutter="0"/>
          <w:cols w:space="425" w:num="1"/>
          <w:docGrid w:type="lines" w:linePitch="312" w:charSpace="0"/>
        </w:sectPr>
      </w:pPr>
    </w:p>
    <w:sdt>
      <w:sdtPr>
        <w:rPr>
          <w:lang w:val="zh-CN"/>
        </w:rPr>
        <w:id w:val="1370265759"/>
      </w:sdtPr>
      <w:sdtEndPr>
        <w:rPr>
          <w:rFonts w:ascii="宋体" w:hAnsi="宋体" w:eastAsia="宋体" w:cstheme="minorBidi"/>
          <w:color w:val="auto"/>
          <w:sz w:val="24"/>
          <w:szCs w:val="24"/>
          <w:lang w:val="zh-CN"/>
        </w:rPr>
      </w:sdtEndPr>
      <w:sdtContent>
        <w:p>
          <w:pPr>
            <w:pStyle w:val="27"/>
            <w:jc w:val="center"/>
            <w:rPr>
              <w:lang w:val="zh-CN"/>
            </w:rPr>
          </w:pPr>
        </w:p>
        <w:p>
          <w:pPr>
            <w:pStyle w:val="27"/>
            <w:jc w:val="center"/>
            <w:rPr>
              <w:lang w:val="zh-CN"/>
            </w:rPr>
          </w:pPr>
        </w:p>
        <w:p>
          <w:pPr>
            <w:pStyle w:val="27"/>
            <w:jc w:val="center"/>
            <w:rPr>
              <w:lang w:val="zh-CN"/>
            </w:rPr>
          </w:pPr>
        </w:p>
        <w:p>
          <w:pPr>
            <w:pStyle w:val="27"/>
            <w:jc w:val="center"/>
            <w:rPr>
              <w:lang w:val="zh-CN"/>
            </w:rPr>
          </w:pPr>
        </w:p>
        <w:p>
          <w:pPr>
            <w:pStyle w:val="27"/>
            <w:jc w:val="center"/>
            <w:rPr>
              <w:lang w:val="zh-CN"/>
            </w:rPr>
          </w:pPr>
        </w:p>
        <w:p>
          <w:pPr>
            <w:pStyle w:val="27"/>
            <w:jc w:val="center"/>
            <w:rPr>
              <w:lang w:val="zh-CN"/>
            </w:rPr>
          </w:pPr>
        </w:p>
        <w:p>
          <w:pPr>
            <w:pStyle w:val="27"/>
            <w:jc w:val="center"/>
            <w:rPr>
              <w:lang w:val="zh-CN"/>
            </w:rPr>
          </w:pPr>
        </w:p>
        <w:p>
          <w:pPr>
            <w:pStyle w:val="27"/>
            <w:jc w:val="center"/>
            <w:rPr>
              <w:lang w:val="zh-CN"/>
            </w:rPr>
          </w:pPr>
        </w:p>
        <w:p>
          <w:pPr>
            <w:pStyle w:val="27"/>
            <w:jc w:val="center"/>
            <w:rPr>
              <w:lang w:val="zh-CN"/>
            </w:rPr>
          </w:pPr>
        </w:p>
        <w:p>
          <w:pPr>
            <w:pStyle w:val="27"/>
            <w:jc w:val="center"/>
            <w:rPr>
              <w:lang w:val="zh-CN"/>
            </w:rPr>
          </w:pPr>
        </w:p>
        <w:p>
          <w:pPr>
            <w:pStyle w:val="27"/>
            <w:jc w:val="center"/>
            <w:rPr>
              <w:lang w:val="zh-CN"/>
            </w:rPr>
          </w:pPr>
        </w:p>
        <w:p>
          <w:pPr>
            <w:pStyle w:val="27"/>
            <w:jc w:val="center"/>
            <w:rPr>
              <w:lang w:val="zh-CN"/>
            </w:rPr>
          </w:pPr>
        </w:p>
        <w:p>
          <w:pPr>
            <w:pStyle w:val="27"/>
            <w:jc w:val="center"/>
            <w:rPr>
              <w:lang w:val="zh-CN"/>
            </w:rPr>
            <w:sectPr>
              <w:footerReference r:id="rId3" w:type="default"/>
              <w:pgSz w:w="11906" w:h="16838"/>
              <w:pgMar w:top="1440" w:right="1800" w:bottom="1440" w:left="1800" w:header="851" w:footer="992" w:gutter="0"/>
              <w:cols w:space="425" w:num="1"/>
              <w:docGrid w:type="lines" w:linePitch="312" w:charSpace="0"/>
            </w:sectPr>
          </w:pPr>
        </w:p>
        <w:p>
          <w:pPr>
            <w:rPr>
              <w:lang w:val="zh-CN"/>
            </w:rPr>
          </w:pPr>
        </w:p>
        <w:p>
          <w:pPr>
            <w:pStyle w:val="27"/>
            <w:jc w:val="center"/>
            <w:rPr>
              <w:color w:val="auto"/>
              <w:sz w:val="36"/>
              <w:szCs w:val="36"/>
            </w:rPr>
          </w:pPr>
          <w:r>
            <w:rPr>
              <w:color w:val="auto"/>
              <w:sz w:val="36"/>
              <w:szCs w:val="36"/>
              <w:lang w:val="zh-CN"/>
            </w:rPr>
            <w:t>目录</w:t>
          </w:r>
        </w:p>
        <w:p>
          <w:pPr>
            <w:pStyle w:val="10"/>
            <w:tabs>
              <w:tab w:val="right" w:leader="dot" w:pos="8296"/>
            </w:tabs>
            <w:spacing w:before="100"/>
            <w:rPr>
              <w:rFonts w:ascii="宋体" w:hAnsi="宋体" w:eastAsia="宋体"/>
              <w:kern w:val="2"/>
              <w:sz w:val="24"/>
              <w:szCs w:val="24"/>
            </w:rPr>
          </w:pPr>
          <w:r>
            <w:rPr>
              <w:rFonts w:ascii="宋体" w:hAnsi="宋体" w:eastAsia="宋体"/>
              <w:sz w:val="24"/>
              <w:szCs w:val="24"/>
            </w:rPr>
            <w:fldChar w:fldCharType="begin"/>
          </w:r>
          <w:r>
            <w:rPr>
              <w:rFonts w:ascii="宋体" w:hAnsi="宋体" w:eastAsia="宋体"/>
              <w:sz w:val="24"/>
              <w:szCs w:val="24"/>
            </w:rPr>
            <w:instrText xml:space="preserve"> TOC \o "1-3" \h \z \u </w:instrText>
          </w:r>
          <w:r>
            <w:rPr>
              <w:rFonts w:ascii="宋体" w:hAnsi="宋体" w:eastAsia="宋体"/>
              <w:sz w:val="24"/>
              <w:szCs w:val="24"/>
            </w:rPr>
            <w:fldChar w:fldCharType="separate"/>
          </w:r>
          <w:r>
            <w:fldChar w:fldCharType="begin"/>
          </w:r>
          <w:r>
            <w:instrText xml:space="preserve"> HYPERLINK \l "_Toc469900291" </w:instrText>
          </w:r>
          <w:r>
            <w:fldChar w:fldCharType="separate"/>
          </w:r>
          <w:r>
            <w:rPr>
              <w:rStyle w:val="13"/>
              <w:rFonts w:hint="eastAsia" w:ascii="宋体" w:hAnsi="宋体" w:eastAsia="宋体" w:cs="宋体"/>
              <w:snapToGrid w:val="0"/>
              <w:sz w:val="24"/>
              <w:szCs w:val="24"/>
            </w:rPr>
            <w:t>一、学校基本概况</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_Toc469900291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"_Toc469900292" </w:instrText>
          </w:r>
          <w:r>
            <w:fldChar w:fldCharType="separate"/>
          </w:r>
          <w:r>
            <w:rPr>
              <w:rStyle w:val="13"/>
              <w:rFonts w:hint="eastAsia" w:ascii="宋体" w:hAnsi="宋体" w:eastAsia="宋体" w:cs="宋体"/>
              <w:sz w:val="24"/>
              <w:szCs w:val="24"/>
            </w:rPr>
            <w:t>（一）学校概况</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_Toc469900292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"_Toc469900293" </w:instrText>
          </w:r>
          <w:r>
            <w:fldChar w:fldCharType="separate"/>
          </w:r>
          <w:r>
            <w:rPr>
              <w:rStyle w:val="13"/>
              <w:rFonts w:hint="eastAsia" w:ascii="宋体" w:hAnsi="宋体" w:eastAsia="宋体" w:cs="宋体"/>
              <w:sz w:val="24"/>
              <w:szCs w:val="24"/>
            </w:rPr>
            <w:t>（二）办学定位</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_Toc469900293 \h </w:instrText>
          </w:r>
          <w:r>
            <w:rPr>
              <w:rFonts w:ascii="宋体" w:hAnsi="宋体" w:eastAsia="宋体"/>
              <w:sz w:val="24"/>
              <w:szCs w:val="24"/>
            </w:rPr>
            <w:fldChar w:fldCharType="separate"/>
          </w:r>
          <w:r>
            <w:rPr>
              <w:rFonts w:ascii="宋体" w:hAnsi="宋体" w:eastAsia="宋体"/>
              <w:sz w:val="24"/>
              <w:szCs w:val="24"/>
            </w:rPr>
            <w:t>2</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"_Toc469900294" </w:instrText>
          </w:r>
          <w:r>
            <w:fldChar w:fldCharType="separate"/>
          </w:r>
          <w:r>
            <w:rPr>
              <w:rStyle w:val="13"/>
              <w:rFonts w:hint="eastAsia" w:ascii="宋体" w:hAnsi="宋体" w:eastAsia="宋体" w:cs="宋体"/>
              <w:sz w:val="24"/>
              <w:szCs w:val="24"/>
            </w:rPr>
            <w:t>（三）办学思路</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_Toc469900294 \h </w:instrText>
          </w:r>
          <w:r>
            <w:rPr>
              <w:rFonts w:ascii="宋体" w:hAnsi="宋体" w:eastAsia="宋体"/>
              <w:sz w:val="24"/>
              <w:szCs w:val="24"/>
            </w:rPr>
            <w:fldChar w:fldCharType="separate"/>
          </w:r>
          <w:r>
            <w:rPr>
              <w:rFonts w:ascii="宋体" w:hAnsi="宋体" w:eastAsia="宋体"/>
              <w:sz w:val="24"/>
              <w:szCs w:val="24"/>
            </w:rPr>
            <w:t>3</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"_Toc469900295" </w:instrText>
          </w:r>
          <w:r>
            <w:fldChar w:fldCharType="separate"/>
          </w:r>
          <w:r>
            <w:rPr>
              <w:rStyle w:val="13"/>
              <w:rFonts w:hint="eastAsia" w:ascii="宋体" w:hAnsi="宋体" w:eastAsia="宋体" w:cs="宋体"/>
              <w:sz w:val="24"/>
              <w:szCs w:val="24"/>
            </w:rPr>
            <w:t>（四）校训</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_Toc469900295 \h </w:instrText>
          </w:r>
          <w:r>
            <w:rPr>
              <w:rFonts w:ascii="宋体" w:hAnsi="宋体" w:eastAsia="宋体"/>
              <w:sz w:val="24"/>
              <w:szCs w:val="24"/>
            </w:rPr>
            <w:fldChar w:fldCharType="separate"/>
          </w:r>
          <w:r>
            <w:rPr>
              <w:rFonts w:ascii="宋体" w:hAnsi="宋体" w:eastAsia="宋体"/>
              <w:sz w:val="24"/>
              <w:szCs w:val="24"/>
            </w:rPr>
            <w:t>3</w:t>
          </w:r>
          <w:r>
            <w:rPr>
              <w:rFonts w:ascii="宋体" w:hAnsi="宋体" w:eastAsia="宋体"/>
              <w:sz w:val="24"/>
              <w:szCs w:val="24"/>
            </w:rPr>
            <w:fldChar w:fldCharType="end"/>
          </w:r>
          <w:r>
            <w:rPr>
              <w:rFonts w:ascii="宋体" w:hAnsi="宋体" w:eastAsia="宋体"/>
              <w:sz w:val="24"/>
              <w:szCs w:val="24"/>
            </w:rPr>
            <w:fldChar w:fldCharType="end"/>
          </w:r>
        </w:p>
        <w:p>
          <w:pPr>
            <w:pStyle w:val="10"/>
            <w:tabs>
              <w:tab w:val="right" w:leader="dot" w:pos="8296"/>
            </w:tabs>
            <w:spacing w:before="100"/>
            <w:rPr>
              <w:rFonts w:ascii="宋体" w:hAnsi="宋体" w:eastAsia="宋体"/>
              <w:kern w:val="2"/>
              <w:sz w:val="24"/>
              <w:szCs w:val="24"/>
            </w:rPr>
          </w:pPr>
          <w:r>
            <w:fldChar w:fldCharType="begin"/>
          </w:r>
          <w:r>
            <w:instrText xml:space="preserve"> HYPERLINK \l "_Toc469900296" </w:instrText>
          </w:r>
          <w:r>
            <w:fldChar w:fldCharType="separate"/>
          </w:r>
          <w:r>
            <w:rPr>
              <w:rStyle w:val="13"/>
              <w:rFonts w:hint="eastAsia" w:ascii="宋体" w:hAnsi="宋体" w:eastAsia="宋体" w:cs="宋体"/>
              <w:snapToGrid w:val="0"/>
              <w:sz w:val="24"/>
              <w:szCs w:val="24"/>
            </w:rPr>
            <w:t>二</w:t>
          </w:r>
          <w:r>
            <w:rPr>
              <w:rStyle w:val="13"/>
              <w:rFonts w:ascii="宋体" w:hAnsi="宋体" w:eastAsia="宋体" w:cs="宋体"/>
              <w:snapToGrid w:val="0"/>
              <w:sz w:val="24"/>
              <w:szCs w:val="24"/>
            </w:rPr>
            <w:t>.</w:t>
          </w:r>
          <w:r>
            <w:rPr>
              <w:rStyle w:val="13"/>
              <w:rFonts w:hint="eastAsia" w:ascii="宋体" w:hAnsi="宋体" w:eastAsia="宋体" w:cs="宋体"/>
              <w:snapToGrid w:val="0"/>
              <w:sz w:val="24"/>
              <w:szCs w:val="24"/>
            </w:rPr>
            <w:t>本科教育基本情况</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_Toc469900296 \h </w:instrText>
          </w:r>
          <w:r>
            <w:rPr>
              <w:rFonts w:ascii="宋体" w:hAnsi="宋体" w:eastAsia="宋体"/>
              <w:sz w:val="24"/>
              <w:szCs w:val="24"/>
            </w:rPr>
            <w:fldChar w:fldCharType="separate"/>
          </w:r>
          <w:r>
            <w:rPr>
              <w:rFonts w:ascii="宋体" w:hAnsi="宋体" w:eastAsia="宋体"/>
              <w:sz w:val="24"/>
              <w:szCs w:val="24"/>
            </w:rPr>
            <w:t>3</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"_Toc469900297" </w:instrText>
          </w:r>
          <w:r>
            <w:fldChar w:fldCharType="separate"/>
          </w:r>
          <w:r>
            <w:rPr>
              <w:rStyle w:val="13"/>
              <w:rFonts w:hint="eastAsia" w:ascii="宋体" w:hAnsi="宋体" w:eastAsia="宋体" w:cs="宋体"/>
              <w:sz w:val="24"/>
              <w:szCs w:val="24"/>
            </w:rPr>
            <w:t>（一）本科人才培养目标及服务面向</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_Toc469900297 \h </w:instrText>
          </w:r>
          <w:r>
            <w:rPr>
              <w:rFonts w:ascii="宋体" w:hAnsi="宋体" w:eastAsia="宋体"/>
              <w:sz w:val="24"/>
              <w:szCs w:val="24"/>
            </w:rPr>
            <w:fldChar w:fldCharType="separate"/>
          </w:r>
          <w:r>
            <w:rPr>
              <w:rFonts w:ascii="宋体" w:hAnsi="宋体" w:eastAsia="宋体"/>
              <w:sz w:val="24"/>
              <w:szCs w:val="24"/>
            </w:rPr>
            <w:t>3</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"_Toc469900298" </w:instrText>
          </w:r>
          <w:r>
            <w:fldChar w:fldCharType="separate"/>
          </w:r>
          <w:r>
            <w:rPr>
              <w:rStyle w:val="13"/>
              <w:rFonts w:hint="eastAsia" w:ascii="宋体" w:hAnsi="宋体" w:eastAsia="宋体" w:cs="宋体"/>
              <w:sz w:val="24"/>
              <w:szCs w:val="24"/>
            </w:rPr>
            <w:t>（二）本科专业设置情况</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_Toc469900298 \h </w:instrText>
          </w:r>
          <w:r>
            <w:rPr>
              <w:rFonts w:ascii="宋体" w:hAnsi="宋体" w:eastAsia="宋体"/>
              <w:sz w:val="24"/>
              <w:szCs w:val="24"/>
            </w:rPr>
            <w:fldChar w:fldCharType="separate"/>
          </w:r>
          <w:r>
            <w:rPr>
              <w:rFonts w:ascii="宋体" w:hAnsi="宋体" w:eastAsia="宋体"/>
              <w:sz w:val="24"/>
              <w:szCs w:val="24"/>
            </w:rPr>
            <w:t>3</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"_Toc469900299" </w:instrText>
          </w:r>
          <w:r>
            <w:fldChar w:fldCharType="separate"/>
          </w:r>
          <w:r>
            <w:rPr>
              <w:rStyle w:val="13"/>
              <w:rFonts w:hint="eastAsia" w:ascii="宋体" w:hAnsi="宋体" w:eastAsia="宋体" w:cs="宋体"/>
              <w:sz w:val="24"/>
              <w:szCs w:val="24"/>
            </w:rPr>
            <w:t>（三）各类全日制在校学生情况及本科生所占比例</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_Toc469900299 \h </w:instrText>
          </w:r>
          <w:r>
            <w:rPr>
              <w:rFonts w:ascii="宋体" w:hAnsi="宋体" w:eastAsia="宋体"/>
              <w:sz w:val="24"/>
              <w:szCs w:val="24"/>
            </w:rPr>
            <w:fldChar w:fldCharType="separate"/>
          </w:r>
          <w:r>
            <w:rPr>
              <w:rFonts w:ascii="宋体" w:hAnsi="宋体" w:eastAsia="宋体"/>
              <w:sz w:val="24"/>
              <w:szCs w:val="24"/>
            </w:rPr>
            <w:t>4</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"_Toc469900300" </w:instrText>
          </w:r>
          <w:r>
            <w:fldChar w:fldCharType="separate"/>
          </w:r>
          <w:r>
            <w:rPr>
              <w:rStyle w:val="13"/>
              <w:rFonts w:hint="eastAsia" w:ascii="宋体" w:hAnsi="宋体" w:eastAsia="宋体" w:cs="宋体"/>
              <w:sz w:val="24"/>
              <w:szCs w:val="24"/>
            </w:rPr>
            <w:t>（四）本科生生源质量情况</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_Toc469900300 \h </w:instrText>
          </w:r>
          <w:r>
            <w:rPr>
              <w:rFonts w:ascii="宋体" w:hAnsi="宋体" w:eastAsia="宋体"/>
              <w:sz w:val="24"/>
              <w:szCs w:val="24"/>
            </w:rPr>
            <w:fldChar w:fldCharType="separate"/>
          </w:r>
          <w:r>
            <w:rPr>
              <w:rFonts w:ascii="宋体" w:hAnsi="宋体" w:eastAsia="宋体"/>
              <w:sz w:val="24"/>
              <w:szCs w:val="24"/>
            </w:rPr>
            <w:t>5</w:t>
          </w:r>
          <w:r>
            <w:rPr>
              <w:rFonts w:ascii="宋体" w:hAnsi="宋体" w:eastAsia="宋体"/>
              <w:sz w:val="24"/>
              <w:szCs w:val="24"/>
            </w:rPr>
            <w:fldChar w:fldCharType="end"/>
          </w:r>
          <w:r>
            <w:rPr>
              <w:rFonts w:ascii="宋体" w:hAnsi="宋体" w:eastAsia="宋体"/>
              <w:sz w:val="24"/>
              <w:szCs w:val="24"/>
            </w:rPr>
            <w:fldChar w:fldCharType="end"/>
          </w:r>
        </w:p>
        <w:p>
          <w:pPr>
            <w:pStyle w:val="10"/>
            <w:tabs>
              <w:tab w:val="right" w:leader="dot" w:pos="8296"/>
            </w:tabs>
            <w:spacing w:before="100"/>
            <w:rPr>
              <w:rFonts w:ascii="宋体" w:hAnsi="宋体" w:eastAsia="宋体"/>
              <w:kern w:val="2"/>
              <w:sz w:val="24"/>
              <w:szCs w:val="24"/>
            </w:rPr>
          </w:pPr>
          <w:r>
            <w:fldChar w:fldCharType="begin"/>
          </w:r>
          <w:r>
            <w:instrText xml:space="preserve"> HYPERLINK \l "_Toc469900301" </w:instrText>
          </w:r>
          <w:r>
            <w:fldChar w:fldCharType="separate"/>
          </w:r>
          <w:r>
            <w:rPr>
              <w:rStyle w:val="13"/>
              <w:rFonts w:hint="eastAsia" w:ascii="宋体" w:hAnsi="宋体" w:eastAsia="宋体" w:cs="宋体"/>
              <w:snapToGrid w:val="0"/>
              <w:sz w:val="24"/>
              <w:szCs w:val="24"/>
            </w:rPr>
            <w:t>三、师资与教学条件</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_Toc469900301 \h </w:instrText>
          </w:r>
          <w:r>
            <w:rPr>
              <w:rFonts w:ascii="宋体" w:hAnsi="宋体" w:eastAsia="宋体"/>
              <w:sz w:val="24"/>
              <w:szCs w:val="24"/>
            </w:rPr>
            <w:fldChar w:fldCharType="separate"/>
          </w:r>
          <w:r>
            <w:rPr>
              <w:rFonts w:ascii="宋体" w:hAnsi="宋体" w:eastAsia="宋体"/>
              <w:sz w:val="24"/>
              <w:szCs w:val="24"/>
            </w:rPr>
            <w:t>6</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"_Toc469900302" </w:instrText>
          </w:r>
          <w:r>
            <w:fldChar w:fldCharType="separate"/>
          </w:r>
          <w:r>
            <w:rPr>
              <w:rStyle w:val="13"/>
              <w:rFonts w:hint="eastAsia" w:ascii="宋体" w:hAnsi="宋体" w:eastAsia="宋体" w:cs="宋体"/>
              <w:sz w:val="24"/>
              <w:szCs w:val="24"/>
            </w:rPr>
            <w:t>（一）师资队伍数量与结构</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_Toc469900302 \h </w:instrText>
          </w:r>
          <w:r>
            <w:rPr>
              <w:rFonts w:ascii="宋体" w:hAnsi="宋体" w:eastAsia="宋体"/>
              <w:sz w:val="24"/>
              <w:szCs w:val="24"/>
            </w:rPr>
            <w:fldChar w:fldCharType="separate"/>
          </w:r>
          <w:r>
            <w:rPr>
              <w:rFonts w:ascii="宋体" w:hAnsi="宋体" w:eastAsia="宋体"/>
              <w:sz w:val="24"/>
              <w:szCs w:val="24"/>
            </w:rPr>
            <w:t>6</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"_Toc469900303" </w:instrText>
          </w:r>
          <w:r>
            <w:fldChar w:fldCharType="separate"/>
          </w:r>
          <w:r>
            <w:rPr>
              <w:rStyle w:val="13"/>
              <w:rFonts w:ascii="宋体" w:hAnsi="宋体" w:eastAsia="宋体" w:cs="宋体"/>
              <w:sz w:val="24"/>
              <w:szCs w:val="24"/>
            </w:rPr>
            <w:t>1.</w:t>
          </w:r>
          <w:r>
            <w:rPr>
              <w:rStyle w:val="13"/>
              <w:rFonts w:hint="eastAsia" w:ascii="宋体" w:hAnsi="宋体" w:eastAsia="宋体" w:cs="宋体"/>
              <w:sz w:val="24"/>
              <w:szCs w:val="24"/>
            </w:rPr>
            <w:t>师资队伍数量</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_Toc469900303 \h </w:instrText>
          </w:r>
          <w:r>
            <w:rPr>
              <w:rFonts w:ascii="宋体" w:hAnsi="宋体" w:eastAsia="宋体"/>
              <w:sz w:val="24"/>
              <w:szCs w:val="24"/>
            </w:rPr>
            <w:fldChar w:fldCharType="separate"/>
          </w:r>
          <w:r>
            <w:rPr>
              <w:rFonts w:ascii="宋体" w:hAnsi="宋体" w:eastAsia="宋体"/>
              <w:sz w:val="24"/>
              <w:szCs w:val="24"/>
            </w:rPr>
            <w:t>6</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"_Toc469900304" </w:instrText>
          </w:r>
          <w:r>
            <w:fldChar w:fldCharType="separate"/>
          </w:r>
          <w:r>
            <w:rPr>
              <w:rStyle w:val="13"/>
              <w:rFonts w:ascii="宋体" w:hAnsi="宋体" w:eastAsia="宋体" w:cs="宋体"/>
              <w:sz w:val="24"/>
              <w:szCs w:val="24"/>
            </w:rPr>
            <w:t>2.</w:t>
          </w:r>
          <w:r>
            <w:rPr>
              <w:rStyle w:val="13"/>
              <w:rFonts w:hint="eastAsia" w:ascii="宋体" w:hAnsi="宋体" w:eastAsia="宋体" w:cs="宋体"/>
              <w:sz w:val="24"/>
              <w:szCs w:val="24"/>
            </w:rPr>
            <w:t>师资队伍结构</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_Toc469900304 \h </w:instrText>
          </w:r>
          <w:r>
            <w:rPr>
              <w:rFonts w:ascii="宋体" w:hAnsi="宋体" w:eastAsia="宋体"/>
              <w:sz w:val="24"/>
              <w:szCs w:val="24"/>
            </w:rPr>
            <w:fldChar w:fldCharType="separate"/>
          </w:r>
          <w:r>
            <w:rPr>
              <w:rFonts w:ascii="宋体" w:hAnsi="宋体" w:eastAsia="宋体"/>
              <w:sz w:val="24"/>
              <w:szCs w:val="24"/>
            </w:rPr>
            <w:t>6</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"_Toc469900305" </w:instrText>
          </w:r>
          <w:r>
            <w:fldChar w:fldCharType="separate"/>
          </w:r>
          <w:r>
            <w:rPr>
              <w:rStyle w:val="13"/>
              <w:rFonts w:ascii="宋体" w:hAnsi="宋体" w:eastAsia="宋体" w:cs="宋体"/>
              <w:sz w:val="24"/>
              <w:szCs w:val="24"/>
            </w:rPr>
            <w:t>3.</w:t>
          </w:r>
          <w:r>
            <w:rPr>
              <w:rStyle w:val="13"/>
              <w:rFonts w:hint="eastAsia" w:ascii="宋体" w:hAnsi="宋体" w:eastAsia="宋体" w:cs="宋体"/>
              <w:sz w:val="24"/>
              <w:szCs w:val="24"/>
            </w:rPr>
            <w:t>生师比</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_Toc469900305 \h </w:instrText>
          </w:r>
          <w:r>
            <w:rPr>
              <w:rFonts w:ascii="宋体" w:hAnsi="宋体" w:eastAsia="宋体"/>
              <w:sz w:val="24"/>
              <w:szCs w:val="24"/>
            </w:rPr>
            <w:fldChar w:fldCharType="separate"/>
          </w:r>
          <w:r>
            <w:rPr>
              <w:rFonts w:ascii="宋体" w:hAnsi="宋体" w:eastAsia="宋体"/>
              <w:sz w:val="24"/>
              <w:szCs w:val="24"/>
            </w:rPr>
            <w:t>8</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"_Toc469900306" </w:instrText>
          </w:r>
          <w:r>
            <w:fldChar w:fldCharType="separate"/>
          </w:r>
          <w:r>
            <w:rPr>
              <w:rStyle w:val="13"/>
              <w:rFonts w:hint="eastAsia" w:ascii="宋体" w:hAnsi="宋体" w:eastAsia="宋体" w:cs="宋体"/>
              <w:sz w:val="24"/>
              <w:szCs w:val="24"/>
            </w:rPr>
            <w:t>（二）本科课程主讲教师情况</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_Toc469900306 \h </w:instrText>
          </w:r>
          <w:r>
            <w:rPr>
              <w:rFonts w:ascii="宋体" w:hAnsi="宋体" w:eastAsia="宋体"/>
              <w:sz w:val="24"/>
              <w:szCs w:val="24"/>
            </w:rPr>
            <w:fldChar w:fldCharType="separate"/>
          </w:r>
          <w:r>
            <w:rPr>
              <w:rFonts w:ascii="宋体" w:hAnsi="宋体" w:eastAsia="宋体"/>
              <w:sz w:val="24"/>
              <w:szCs w:val="24"/>
            </w:rPr>
            <w:t>8</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"_Toc469900307" </w:instrText>
          </w:r>
          <w:r>
            <w:fldChar w:fldCharType="separate"/>
          </w:r>
          <w:r>
            <w:rPr>
              <w:rStyle w:val="13"/>
              <w:rFonts w:hint="eastAsia" w:ascii="宋体" w:hAnsi="宋体" w:eastAsia="宋体" w:cs="宋体"/>
              <w:sz w:val="24"/>
              <w:szCs w:val="24"/>
            </w:rPr>
            <w:t>（三）教学经费投入情况</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_Toc469900307 \h </w:instrText>
          </w:r>
          <w:r>
            <w:rPr>
              <w:rFonts w:ascii="宋体" w:hAnsi="宋体" w:eastAsia="宋体"/>
              <w:sz w:val="24"/>
              <w:szCs w:val="24"/>
            </w:rPr>
            <w:fldChar w:fldCharType="separate"/>
          </w:r>
          <w:r>
            <w:rPr>
              <w:rFonts w:ascii="宋体" w:hAnsi="宋体" w:eastAsia="宋体"/>
              <w:sz w:val="24"/>
              <w:szCs w:val="24"/>
            </w:rPr>
            <w:t>9</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"_Toc469900308" </w:instrText>
          </w:r>
          <w:r>
            <w:fldChar w:fldCharType="separate"/>
          </w:r>
          <w:r>
            <w:rPr>
              <w:rStyle w:val="13"/>
              <w:rFonts w:hint="eastAsia" w:ascii="宋体" w:hAnsi="宋体" w:eastAsia="宋体" w:cs="宋体"/>
              <w:sz w:val="24"/>
              <w:szCs w:val="24"/>
            </w:rPr>
            <w:t>（四）教学行政用房、图书、设备等资源及其应用情况</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_Toc469900308 \h </w:instrText>
          </w:r>
          <w:r>
            <w:rPr>
              <w:rFonts w:ascii="宋体" w:hAnsi="宋体" w:eastAsia="宋体"/>
              <w:sz w:val="24"/>
              <w:szCs w:val="24"/>
            </w:rPr>
            <w:fldChar w:fldCharType="separate"/>
          </w:r>
          <w:r>
            <w:rPr>
              <w:rFonts w:ascii="宋体" w:hAnsi="宋体" w:eastAsia="宋体"/>
              <w:sz w:val="24"/>
              <w:szCs w:val="24"/>
            </w:rPr>
            <w:t>9</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"_Toc469900309" </w:instrText>
          </w:r>
          <w:r>
            <w:fldChar w:fldCharType="separate"/>
          </w:r>
          <w:r>
            <w:rPr>
              <w:rStyle w:val="13"/>
              <w:rFonts w:ascii="宋体" w:hAnsi="宋体" w:eastAsia="宋体" w:cs="宋体"/>
              <w:sz w:val="24"/>
              <w:szCs w:val="24"/>
            </w:rPr>
            <w:t>1.</w:t>
          </w:r>
          <w:r>
            <w:rPr>
              <w:rStyle w:val="13"/>
              <w:rFonts w:hint="eastAsia" w:ascii="宋体" w:hAnsi="宋体" w:eastAsia="宋体" w:cs="宋体"/>
              <w:sz w:val="24"/>
              <w:szCs w:val="24"/>
            </w:rPr>
            <w:t>教学行政用房面积</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_Toc469900309 \h </w:instrText>
          </w:r>
          <w:r>
            <w:rPr>
              <w:rFonts w:ascii="宋体" w:hAnsi="宋体" w:eastAsia="宋体"/>
              <w:sz w:val="24"/>
              <w:szCs w:val="24"/>
            </w:rPr>
            <w:fldChar w:fldCharType="separate"/>
          </w:r>
          <w:r>
            <w:rPr>
              <w:rFonts w:ascii="宋体" w:hAnsi="宋体" w:eastAsia="宋体"/>
              <w:sz w:val="24"/>
              <w:szCs w:val="24"/>
            </w:rPr>
            <w:t>9</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"_Toc469900310" </w:instrText>
          </w:r>
          <w:r>
            <w:fldChar w:fldCharType="separate"/>
          </w:r>
          <w:r>
            <w:rPr>
              <w:rStyle w:val="13"/>
              <w:rFonts w:ascii="宋体" w:hAnsi="宋体" w:eastAsia="宋体" w:cs="宋体"/>
              <w:sz w:val="24"/>
              <w:szCs w:val="24"/>
            </w:rPr>
            <w:t>2.</w:t>
          </w:r>
          <w:r>
            <w:rPr>
              <w:rStyle w:val="13"/>
              <w:rFonts w:hint="eastAsia" w:ascii="宋体" w:hAnsi="宋体" w:eastAsia="宋体" w:cs="宋体"/>
              <w:sz w:val="24"/>
              <w:szCs w:val="24"/>
            </w:rPr>
            <w:t>教学场馆</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_Toc469900310 \h </w:instrText>
          </w:r>
          <w:r>
            <w:rPr>
              <w:rFonts w:ascii="宋体" w:hAnsi="宋体" w:eastAsia="宋体"/>
              <w:sz w:val="24"/>
              <w:szCs w:val="24"/>
            </w:rPr>
            <w:fldChar w:fldCharType="separate"/>
          </w:r>
          <w:r>
            <w:rPr>
              <w:rFonts w:ascii="宋体" w:hAnsi="宋体" w:eastAsia="宋体"/>
              <w:sz w:val="24"/>
              <w:szCs w:val="24"/>
            </w:rPr>
            <w:t>9</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"_Toc469900311" </w:instrText>
          </w:r>
          <w:r>
            <w:fldChar w:fldCharType="separate"/>
          </w:r>
          <w:r>
            <w:rPr>
              <w:rStyle w:val="13"/>
              <w:rFonts w:ascii="宋体" w:hAnsi="宋体" w:eastAsia="宋体" w:cs="宋体"/>
              <w:sz w:val="24"/>
              <w:szCs w:val="24"/>
            </w:rPr>
            <w:t>3.</w:t>
          </w:r>
          <w:r>
            <w:rPr>
              <w:rStyle w:val="13"/>
              <w:rFonts w:hint="eastAsia" w:ascii="宋体" w:hAnsi="宋体" w:eastAsia="宋体" w:cs="宋体"/>
              <w:sz w:val="24"/>
              <w:szCs w:val="24"/>
            </w:rPr>
            <w:t>教学科研仪器设备</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_Toc469900311 \h </w:instrText>
          </w:r>
          <w:r>
            <w:rPr>
              <w:rFonts w:ascii="宋体" w:hAnsi="宋体" w:eastAsia="宋体"/>
              <w:sz w:val="24"/>
              <w:szCs w:val="24"/>
            </w:rPr>
            <w:fldChar w:fldCharType="separate"/>
          </w:r>
          <w:r>
            <w:rPr>
              <w:rFonts w:ascii="宋体" w:hAnsi="宋体" w:eastAsia="宋体"/>
              <w:sz w:val="24"/>
              <w:szCs w:val="24"/>
            </w:rPr>
            <w:t>9</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"_Toc469900312" </w:instrText>
          </w:r>
          <w:r>
            <w:fldChar w:fldCharType="separate"/>
          </w:r>
          <w:r>
            <w:rPr>
              <w:rStyle w:val="13"/>
              <w:rFonts w:ascii="宋体" w:hAnsi="宋体" w:eastAsia="宋体" w:cs="宋体"/>
              <w:sz w:val="24"/>
              <w:szCs w:val="24"/>
            </w:rPr>
            <w:t>4.</w:t>
          </w:r>
          <w:r>
            <w:rPr>
              <w:rStyle w:val="13"/>
              <w:rFonts w:hint="eastAsia" w:ascii="宋体" w:hAnsi="宋体" w:eastAsia="宋体" w:cs="宋体"/>
              <w:sz w:val="24"/>
              <w:szCs w:val="24"/>
            </w:rPr>
            <w:t>图书资料</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_Toc469900312 \h </w:instrText>
          </w:r>
          <w:r>
            <w:rPr>
              <w:rFonts w:ascii="宋体" w:hAnsi="宋体" w:eastAsia="宋体"/>
              <w:sz w:val="24"/>
              <w:szCs w:val="24"/>
            </w:rPr>
            <w:fldChar w:fldCharType="separate"/>
          </w:r>
          <w:r>
            <w:rPr>
              <w:rFonts w:ascii="宋体" w:hAnsi="宋体" w:eastAsia="宋体"/>
              <w:sz w:val="24"/>
              <w:szCs w:val="24"/>
            </w:rPr>
            <w:t>10</w:t>
          </w:r>
          <w:r>
            <w:rPr>
              <w:rFonts w:ascii="宋体" w:hAnsi="宋体" w:eastAsia="宋体"/>
              <w:sz w:val="24"/>
              <w:szCs w:val="24"/>
            </w:rPr>
            <w:fldChar w:fldCharType="end"/>
          </w:r>
          <w:r>
            <w:rPr>
              <w:rFonts w:ascii="宋体" w:hAnsi="宋体" w:eastAsia="宋体"/>
              <w:sz w:val="24"/>
              <w:szCs w:val="24"/>
            </w:rPr>
            <w:fldChar w:fldCharType="end"/>
          </w:r>
        </w:p>
        <w:p>
          <w:pPr>
            <w:pStyle w:val="10"/>
            <w:tabs>
              <w:tab w:val="right" w:leader="dot" w:pos="8296"/>
            </w:tabs>
            <w:spacing w:before="100"/>
            <w:rPr>
              <w:rFonts w:ascii="宋体" w:hAnsi="宋体" w:eastAsia="宋体"/>
              <w:kern w:val="2"/>
              <w:sz w:val="24"/>
              <w:szCs w:val="24"/>
            </w:rPr>
          </w:pPr>
          <w:r>
            <w:fldChar w:fldCharType="begin"/>
          </w:r>
          <w:r>
            <w:instrText xml:space="preserve"> HYPERLINK \l "_Toc469900313" </w:instrText>
          </w:r>
          <w:r>
            <w:fldChar w:fldCharType="separate"/>
          </w:r>
          <w:r>
            <w:rPr>
              <w:rStyle w:val="13"/>
              <w:rFonts w:hint="eastAsia" w:ascii="宋体" w:hAnsi="宋体" w:eastAsia="宋体" w:cs="宋体"/>
              <w:snapToGrid w:val="0"/>
              <w:sz w:val="24"/>
              <w:szCs w:val="24"/>
            </w:rPr>
            <w:t>四、教学建设与改革</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_Toc469900313 \h </w:instrText>
          </w:r>
          <w:r>
            <w:rPr>
              <w:rFonts w:ascii="宋体" w:hAnsi="宋体" w:eastAsia="宋体"/>
              <w:sz w:val="24"/>
              <w:szCs w:val="24"/>
            </w:rPr>
            <w:fldChar w:fldCharType="separate"/>
          </w:r>
          <w:r>
            <w:rPr>
              <w:rFonts w:ascii="宋体" w:hAnsi="宋体" w:eastAsia="宋体"/>
              <w:sz w:val="24"/>
              <w:szCs w:val="24"/>
            </w:rPr>
            <w:t>10</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"_Toc469900314" </w:instrText>
          </w:r>
          <w:r>
            <w:fldChar w:fldCharType="separate"/>
          </w:r>
          <w:r>
            <w:rPr>
              <w:rStyle w:val="13"/>
              <w:rFonts w:hint="eastAsia" w:ascii="宋体" w:hAnsi="宋体" w:eastAsia="宋体" w:cs="宋体"/>
              <w:sz w:val="24"/>
              <w:szCs w:val="24"/>
            </w:rPr>
            <w:t>（一）专业建设</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_Toc469900314 \h </w:instrText>
          </w:r>
          <w:r>
            <w:rPr>
              <w:rFonts w:ascii="宋体" w:hAnsi="宋体" w:eastAsia="宋体"/>
              <w:sz w:val="24"/>
              <w:szCs w:val="24"/>
            </w:rPr>
            <w:fldChar w:fldCharType="separate"/>
          </w:r>
          <w:r>
            <w:rPr>
              <w:rFonts w:ascii="宋体" w:hAnsi="宋体" w:eastAsia="宋体"/>
              <w:sz w:val="24"/>
              <w:szCs w:val="24"/>
            </w:rPr>
            <w:t>10</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"_Toc469900315" </w:instrText>
          </w:r>
          <w:r>
            <w:fldChar w:fldCharType="separate"/>
          </w:r>
          <w:r>
            <w:rPr>
              <w:rStyle w:val="13"/>
              <w:rFonts w:hint="eastAsia" w:ascii="宋体" w:hAnsi="宋体" w:eastAsia="宋体" w:cs="宋体"/>
              <w:sz w:val="24"/>
              <w:szCs w:val="24"/>
            </w:rPr>
            <w:t>（二）课程建设</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_Toc469900315 \h </w:instrText>
          </w:r>
          <w:r>
            <w:rPr>
              <w:rFonts w:ascii="宋体" w:hAnsi="宋体" w:eastAsia="宋体"/>
              <w:sz w:val="24"/>
              <w:szCs w:val="24"/>
            </w:rPr>
            <w:fldChar w:fldCharType="separate"/>
          </w:r>
          <w:r>
            <w:rPr>
              <w:rFonts w:ascii="宋体" w:hAnsi="宋体" w:eastAsia="宋体"/>
              <w:sz w:val="24"/>
              <w:szCs w:val="24"/>
            </w:rPr>
            <w:t>11</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"_Toc469900316" </w:instrText>
          </w:r>
          <w:r>
            <w:fldChar w:fldCharType="separate"/>
          </w:r>
          <w:r>
            <w:rPr>
              <w:rStyle w:val="13"/>
              <w:rFonts w:hint="eastAsia" w:ascii="宋体" w:hAnsi="宋体" w:eastAsia="宋体" w:cs="宋体"/>
              <w:sz w:val="24"/>
              <w:szCs w:val="24"/>
            </w:rPr>
            <w:t>（三）教材建设</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_Toc469900316 \h </w:instrText>
          </w:r>
          <w:r>
            <w:rPr>
              <w:rFonts w:ascii="宋体" w:hAnsi="宋体" w:eastAsia="宋体"/>
              <w:sz w:val="24"/>
              <w:szCs w:val="24"/>
            </w:rPr>
            <w:fldChar w:fldCharType="separate"/>
          </w:r>
          <w:r>
            <w:rPr>
              <w:rFonts w:ascii="宋体" w:hAnsi="宋体" w:eastAsia="宋体"/>
              <w:sz w:val="24"/>
              <w:szCs w:val="24"/>
            </w:rPr>
            <w:t>12</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"_Toc469900317" </w:instrText>
          </w:r>
          <w:r>
            <w:fldChar w:fldCharType="separate"/>
          </w:r>
          <w:r>
            <w:rPr>
              <w:rStyle w:val="13"/>
              <w:rFonts w:hint="eastAsia" w:ascii="宋体" w:hAnsi="宋体" w:eastAsia="宋体" w:cs="宋体"/>
              <w:sz w:val="24"/>
              <w:szCs w:val="24"/>
            </w:rPr>
            <w:t>（四）教学改革</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_Toc469900317 \h </w:instrText>
          </w:r>
          <w:r>
            <w:rPr>
              <w:rFonts w:ascii="宋体" w:hAnsi="宋体" w:eastAsia="宋体"/>
              <w:sz w:val="24"/>
              <w:szCs w:val="24"/>
            </w:rPr>
            <w:fldChar w:fldCharType="separate"/>
          </w:r>
          <w:r>
            <w:rPr>
              <w:rFonts w:ascii="宋体" w:hAnsi="宋体" w:eastAsia="宋体"/>
              <w:sz w:val="24"/>
              <w:szCs w:val="24"/>
            </w:rPr>
            <w:t>12</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"_Toc469900318" </w:instrText>
          </w:r>
          <w:r>
            <w:fldChar w:fldCharType="separate"/>
          </w:r>
          <w:r>
            <w:rPr>
              <w:rStyle w:val="13"/>
              <w:rFonts w:ascii="宋体" w:hAnsi="宋体" w:eastAsia="宋体" w:cs="宋体"/>
              <w:sz w:val="24"/>
              <w:szCs w:val="24"/>
            </w:rPr>
            <w:t>1.</w:t>
          </w:r>
          <w:r>
            <w:rPr>
              <w:rStyle w:val="13"/>
              <w:rFonts w:hint="eastAsia" w:ascii="宋体" w:hAnsi="宋体" w:eastAsia="宋体" w:cs="宋体"/>
              <w:sz w:val="24"/>
              <w:szCs w:val="24"/>
            </w:rPr>
            <w:t>创新人才培养模式改革</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_Toc469900318 \h </w:instrText>
          </w:r>
          <w:r>
            <w:rPr>
              <w:rFonts w:ascii="宋体" w:hAnsi="宋体" w:eastAsia="宋体"/>
              <w:sz w:val="24"/>
              <w:szCs w:val="24"/>
            </w:rPr>
            <w:fldChar w:fldCharType="separate"/>
          </w:r>
          <w:r>
            <w:rPr>
              <w:rFonts w:ascii="宋体" w:hAnsi="宋体" w:eastAsia="宋体"/>
              <w:sz w:val="24"/>
              <w:szCs w:val="24"/>
            </w:rPr>
            <w:t>12</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"_Toc469900319" </w:instrText>
          </w:r>
          <w:r>
            <w:fldChar w:fldCharType="separate"/>
          </w:r>
          <w:r>
            <w:rPr>
              <w:rStyle w:val="13"/>
              <w:rFonts w:ascii="宋体" w:hAnsi="宋体" w:eastAsia="宋体" w:cs="宋体"/>
              <w:sz w:val="24"/>
              <w:szCs w:val="24"/>
            </w:rPr>
            <w:t>2.</w:t>
          </w:r>
          <w:r>
            <w:rPr>
              <w:rStyle w:val="13"/>
              <w:rFonts w:hint="eastAsia" w:ascii="宋体" w:hAnsi="宋体" w:eastAsia="宋体" w:cs="宋体"/>
              <w:sz w:val="24"/>
              <w:szCs w:val="24"/>
            </w:rPr>
            <w:t>深化课程改革</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_Toc469900319 \h </w:instrText>
          </w:r>
          <w:r>
            <w:rPr>
              <w:rFonts w:ascii="宋体" w:hAnsi="宋体" w:eastAsia="宋体"/>
              <w:sz w:val="24"/>
              <w:szCs w:val="24"/>
            </w:rPr>
            <w:fldChar w:fldCharType="separate"/>
          </w:r>
          <w:r>
            <w:rPr>
              <w:rFonts w:ascii="宋体" w:hAnsi="宋体" w:eastAsia="宋体"/>
              <w:sz w:val="24"/>
              <w:szCs w:val="24"/>
            </w:rPr>
            <w:t>13</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"_Toc469900320" </w:instrText>
          </w:r>
          <w:r>
            <w:fldChar w:fldCharType="separate"/>
          </w:r>
          <w:r>
            <w:rPr>
              <w:rStyle w:val="13"/>
              <w:rFonts w:hint="eastAsia" w:ascii="宋体" w:hAnsi="宋体" w:eastAsia="宋体" w:cs="宋体"/>
              <w:sz w:val="24"/>
              <w:szCs w:val="24"/>
            </w:rPr>
            <w:t>（五）实践教学</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_Toc469900320 \h </w:instrText>
          </w:r>
          <w:r>
            <w:rPr>
              <w:rFonts w:ascii="宋体" w:hAnsi="宋体" w:eastAsia="宋体"/>
              <w:sz w:val="24"/>
              <w:szCs w:val="24"/>
            </w:rPr>
            <w:fldChar w:fldCharType="separate"/>
          </w:r>
          <w:r>
            <w:rPr>
              <w:rFonts w:ascii="宋体" w:hAnsi="宋体" w:eastAsia="宋体"/>
              <w:sz w:val="24"/>
              <w:szCs w:val="24"/>
            </w:rPr>
            <w:t>13</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sectPr>
              <w:footerReference r:id="rId4" w:type="default"/>
              <w:pgSz w:w="11906" w:h="16838"/>
              <w:pgMar w:top="1440" w:right="1800" w:bottom="1440" w:left="1800" w:header="851" w:footer="992" w:gutter="0"/>
              <w:cols w:space="425" w:num="1"/>
              <w:docGrid w:type="lines" w:linePitch="312" w:charSpace="0"/>
            </w:sectPr>
          </w:pPr>
        </w:p>
        <w:p>
          <w:pPr>
            <w:pStyle w:val="6"/>
            <w:spacing w:before="100" w:beforeLines="0"/>
            <w:rPr>
              <w:rFonts w:ascii="宋体" w:hAnsi="宋体" w:eastAsia="宋体"/>
              <w:kern w:val="2"/>
              <w:sz w:val="24"/>
              <w:szCs w:val="24"/>
            </w:rPr>
          </w:pPr>
          <w:r>
            <w:fldChar w:fldCharType="begin"/>
          </w:r>
          <w:r>
            <w:instrText xml:space="preserve"> HYPERLINK \l "_Toc469900321" </w:instrText>
          </w:r>
          <w:r>
            <w:fldChar w:fldCharType="separate"/>
          </w:r>
          <w:r>
            <w:rPr>
              <w:rStyle w:val="13"/>
              <w:rFonts w:ascii="宋体" w:hAnsi="宋体" w:eastAsia="宋体" w:cs="宋体"/>
              <w:sz w:val="24"/>
              <w:szCs w:val="24"/>
            </w:rPr>
            <w:t>1.</w:t>
          </w:r>
          <w:r>
            <w:rPr>
              <w:rStyle w:val="13"/>
              <w:rFonts w:hint="eastAsia" w:ascii="宋体" w:hAnsi="宋体" w:eastAsia="宋体" w:cs="宋体"/>
              <w:sz w:val="24"/>
              <w:szCs w:val="24"/>
            </w:rPr>
            <w:t>逐步完善实践教学体系，优化实践能力培养</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_Toc469900321 \h </w:instrText>
          </w:r>
          <w:r>
            <w:rPr>
              <w:rFonts w:ascii="宋体" w:hAnsi="宋体" w:eastAsia="宋体"/>
              <w:sz w:val="24"/>
              <w:szCs w:val="24"/>
            </w:rPr>
            <w:fldChar w:fldCharType="separate"/>
          </w:r>
          <w:r>
            <w:rPr>
              <w:rFonts w:ascii="宋体" w:hAnsi="宋体" w:eastAsia="宋体"/>
              <w:sz w:val="24"/>
              <w:szCs w:val="24"/>
            </w:rPr>
            <w:t>13</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"_Toc469900322" </w:instrText>
          </w:r>
          <w:r>
            <w:fldChar w:fldCharType="separate"/>
          </w:r>
          <w:r>
            <w:rPr>
              <w:rStyle w:val="13"/>
              <w:rFonts w:ascii="宋体" w:hAnsi="宋体" w:eastAsia="宋体" w:cs="宋体"/>
              <w:sz w:val="24"/>
              <w:szCs w:val="24"/>
            </w:rPr>
            <w:t>2.</w:t>
          </w:r>
          <w:r>
            <w:rPr>
              <w:rStyle w:val="13"/>
              <w:rFonts w:hint="eastAsia" w:ascii="宋体" w:hAnsi="宋体" w:eastAsia="宋体" w:cs="宋体"/>
              <w:sz w:val="24"/>
              <w:szCs w:val="24"/>
            </w:rPr>
            <w:t>强化实践教学平台建设，支撑实践教学体系</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_Toc469900322 \h </w:instrText>
          </w:r>
          <w:r>
            <w:rPr>
              <w:rFonts w:ascii="宋体" w:hAnsi="宋体" w:eastAsia="宋体"/>
              <w:sz w:val="24"/>
              <w:szCs w:val="24"/>
            </w:rPr>
            <w:fldChar w:fldCharType="separate"/>
          </w:r>
          <w:r>
            <w:rPr>
              <w:rFonts w:ascii="宋体" w:hAnsi="宋体" w:eastAsia="宋体"/>
              <w:sz w:val="24"/>
              <w:szCs w:val="24"/>
            </w:rPr>
            <w:t>14</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"_Toc469900323" </w:instrText>
          </w:r>
          <w:r>
            <w:fldChar w:fldCharType="separate"/>
          </w:r>
          <w:r>
            <w:rPr>
              <w:rStyle w:val="13"/>
              <w:rFonts w:ascii="宋体" w:hAnsi="宋体" w:eastAsia="宋体" w:cs="宋体"/>
              <w:sz w:val="24"/>
              <w:szCs w:val="24"/>
            </w:rPr>
            <w:t>3.</w:t>
          </w:r>
          <w:r>
            <w:rPr>
              <w:rStyle w:val="13"/>
              <w:rFonts w:hint="eastAsia" w:ascii="宋体" w:hAnsi="宋体" w:eastAsia="宋体" w:cs="宋体"/>
              <w:sz w:val="24"/>
              <w:szCs w:val="24"/>
            </w:rPr>
            <w:t>优化专业实习实践管理，提高实践育人质量</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_Toc469900323 \h </w:instrText>
          </w:r>
          <w:r>
            <w:rPr>
              <w:rFonts w:ascii="宋体" w:hAnsi="宋体" w:eastAsia="宋体"/>
              <w:sz w:val="24"/>
              <w:szCs w:val="24"/>
            </w:rPr>
            <w:fldChar w:fldCharType="separate"/>
          </w:r>
          <w:r>
            <w:rPr>
              <w:rFonts w:ascii="宋体" w:hAnsi="宋体" w:eastAsia="宋体"/>
              <w:sz w:val="24"/>
              <w:szCs w:val="24"/>
            </w:rPr>
            <w:t>14</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"_Toc469900324" </w:instrText>
          </w:r>
          <w:r>
            <w:fldChar w:fldCharType="separate"/>
          </w:r>
          <w:r>
            <w:rPr>
              <w:rStyle w:val="13"/>
              <w:rFonts w:hint="eastAsia" w:ascii="宋体" w:hAnsi="宋体" w:eastAsia="宋体" w:cs="宋体"/>
              <w:sz w:val="24"/>
              <w:szCs w:val="24"/>
            </w:rPr>
            <w:t>（六）创新创业教育</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_Toc469900324 \h </w:instrText>
          </w:r>
          <w:r>
            <w:rPr>
              <w:rFonts w:ascii="宋体" w:hAnsi="宋体" w:eastAsia="宋体"/>
              <w:sz w:val="24"/>
              <w:szCs w:val="24"/>
            </w:rPr>
            <w:fldChar w:fldCharType="separate"/>
          </w:r>
          <w:r>
            <w:rPr>
              <w:rFonts w:ascii="宋体" w:hAnsi="宋体" w:eastAsia="宋体"/>
              <w:sz w:val="24"/>
              <w:szCs w:val="24"/>
            </w:rPr>
            <w:t>14</w:t>
          </w:r>
          <w:r>
            <w:rPr>
              <w:rFonts w:ascii="宋体" w:hAnsi="宋体" w:eastAsia="宋体"/>
              <w:sz w:val="24"/>
              <w:szCs w:val="24"/>
            </w:rPr>
            <w:fldChar w:fldCharType="end"/>
          </w:r>
          <w:r>
            <w:rPr>
              <w:rFonts w:ascii="宋体" w:hAnsi="宋体" w:eastAsia="宋体"/>
              <w:sz w:val="24"/>
              <w:szCs w:val="24"/>
            </w:rPr>
            <w:fldChar w:fldCharType="end"/>
          </w:r>
        </w:p>
        <w:p>
          <w:pPr>
            <w:pStyle w:val="10"/>
            <w:tabs>
              <w:tab w:val="right" w:leader="dot" w:pos="8296"/>
            </w:tabs>
            <w:spacing w:before="100"/>
            <w:rPr>
              <w:rFonts w:ascii="宋体" w:hAnsi="宋体" w:eastAsia="宋体"/>
              <w:kern w:val="2"/>
              <w:sz w:val="24"/>
              <w:szCs w:val="24"/>
            </w:rPr>
          </w:pPr>
          <w:r>
            <w:fldChar w:fldCharType="begin"/>
          </w:r>
          <w:r>
            <w:instrText xml:space="preserve"> HYPERLINK \l "_Toc469900325" </w:instrText>
          </w:r>
          <w:r>
            <w:fldChar w:fldCharType="separate"/>
          </w:r>
          <w:r>
            <w:rPr>
              <w:rStyle w:val="13"/>
              <w:rFonts w:hint="eastAsia" w:ascii="宋体" w:hAnsi="宋体" w:eastAsia="宋体" w:cs="宋体"/>
              <w:snapToGrid w:val="0"/>
              <w:sz w:val="24"/>
              <w:szCs w:val="24"/>
            </w:rPr>
            <w:t>五、质量保障体系</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_Toc469900325 \h </w:instrText>
          </w:r>
          <w:r>
            <w:rPr>
              <w:rFonts w:ascii="宋体" w:hAnsi="宋体" w:eastAsia="宋体"/>
              <w:sz w:val="24"/>
              <w:szCs w:val="24"/>
            </w:rPr>
            <w:fldChar w:fldCharType="separate"/>
          </w:r>
          <w:r>
            <w:rPr>
              <w:rFonts w:ascii="宋体" w:hAnsi="宋体" w:eastAsia="宋体"/>
              <w:sz w:val="24"/>
              <w:szCs w:val="24"/>
            </w:rPr>
            <w:t>16</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"_Toc469900326" </w:instrText>
          </w:r>
          <w:r>
            <w:fldChar w:fldCharType="separate"/>
          </w:r>
          <w:r>
            <w:rPr>
              <w:rStyle w:val="13"/>
              <w:rFonts w:hint="eastAsia" w:ascii="宋体" w:hAnsi="宋体" w:eastAsia="宋体" w:cs="宋体"/>
              <w:sz w:val="24"/>
              <w:szCs w:val="24"/>
            </w:rPr>
            <w:t>（一）学校人才培养中心地位落实情况</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_Toc469900326 \h </w:instrText>
          </w:r>
          <w:r>
            <w:rPr>
              <w:rFonts w:ascii="宋体" w:hAnsi="宋体" w:eastAsia="宋体"/>
              <w:sz w:val="24"/>
              <w:szCs w:val="24"/>
            </w:rPr>
            <w:fldChar w:fldCharType="separate"/>
          </w:r>
          <w:r>
            <w:rPr>
              <w:rFonts w:ascii="宋体" w:hAnsi="宋体" w:eastAsia="宋体"/>
              <w:sz w:val="24"/>
              <w:szCs w:val="24"/>
            </w:rPr>
            <w:t>16</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"_Toc469900327" </w:instrText>
          </w:r>
          <w:r>
            <w:fldChar w:fldCharType="separate"/>
          </w:r>
          <w:r>
            <w:rPr>
              <w:rStyle w:val="13"/>
              <w:rFonts w:hint="eastAsia" w:ascii="宋体" w:hAnsi="宋体" w:eastAsia="宋体" w:cs="宋体"/>
              <w:sz w:val="24"/>
              <w:szCs w:val="24"/>
            </w:rPr>
            <w:t>（二）校领导班子研究本科教学工作情况、出台的相关政策措施</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_Toc469900327 \h </w:instrText>
          </w:r>
          <w:r>
            <w:rPr>
              <w:rFonts w:ascii="宋体" w:hAnsi="宋体" w:eastAsia="宋体"/>
              <w:sz w:val="24"/>
              <w:szCs w:val="24"/>
            </w:rPr>
            <w:fldChar w:fldCharType="separate"/>
          </w:r>
          <w:r>
            <w:rPr>
              <w:rFonts w:ascii="宋体" w:hAnsi="宋体" w:eastAsia="宋体"/>
              <w:sz w:val="24"/>
              <w:szCs w:val="24"/>
            </w:rPr>
            <w:t>16</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"_Toc469900328" </w:instrText>
          </w:r>
          <w:r>
            <w:fldChar w:fldCharType="separate"/>
          </w:r>
          <w:r>
            <w:rPr>
              <w:rStyle w:val="13"/>
              <w:rFonts w:hint="eastAsia" w:ascii="宋体" w:hAnsi="宋体" w:eastAsia="宋体" w:cs="宋体"/>
              <w:sz w:val="24"/>
              <w:szCs w:val="24"/>
            </w:rPr>
            <w:t>（三）教学质量管理与监控体系</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_Toc469900328 \h </w:instrText>
          </w:r>
          <w:r>
            <w:rPr>
              <w:rFonts w:ascii="宋体" w:hAnsi="宋体" w:eastAsia="宋体"/>
              <w:sz w:val="24"/>
              <w:szCs w:val="24"/>
            </w:rPr>
            <w:fldChar w:fldCharType="separate"/>
          </w:r>
          <w:r>
            <w:rPr>
              <w:rFonts w:ascii="宋体" w:hAnsi="宋体" w:eastAsia="宋体"/>
              <w:sz w:val="24"/>
              <w:szCs w:val="24"/>
            </w:rPr>
            <w:t>16</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"_Toc469900329" </w:instrText>
          </w:r>
          <w:r>
            <w:fldChar w:fldCharType="separate"/>
          </w:r>
          <w:r>
            <w:rPr>
              <w:rStyle w:val="13"/>
              <w:rFonts w:ascii="宋体" w:hAnsi="宋体" w:eastAsia="宋体" w:cs="宋体"/>
              <w:sz w:val="24"/>
              <w:szCs w:val="24"/>
            </w:rPr>
            <w:t>1.</w:t>
          </w:r>
          <w:r>
            <w:rPr>
              <w:rStyle w:val="13"/>
              <w:rFonts w:hint="eastAsia" w:ascii="宋体" w:hAnsi="宋体" w:eastAsia="宋体" w:cs="宋体"/>
              <w:sz w:val="24"/>
              <w:szCs w:val="24"/>
            </w:rPr>
            <w:t>构建质量保障体系，确保教学质量</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_Toc469900329 \h </w:instrText>
          </w:r>
          <w:r>
            <w:rPr>
              <w:rFonts w:ascii="宋体" w:hAnsi="宋体" w:eastAsia="宋体"/>
              <w:sz w:val="24"/>
              <w:szCs w:val="24"/>
            </w:rPr>
            <w:fldChar w:fldCharType="separate"/>
          </w:r>
          <w:r>
            <w:rPr>
              <w:rFonts w:ascii="宋体" w:hAnsi="宋体" w:eastAsia="宋体"/>
              <w:sz w:val="24"/>
              <w:szCs w:val="24"/>
            </w:rPr>
            <w:t>16</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"_Toc469900330" </w:instrText>
          </w:r>
          <w:r>
            <w:fldChar w:fldCharType="separate"/>
          </w:r>
          <w:r>
            <w:rPr>
              <w:rStyle w:val="13"/>
              <w:rFonts w:ascii="宋体" w:hAnsi="宋体" w:eastAsia="宋体" w:cs="宋体"/>
              <w:sz w:val="24"/>
              <w:szCs w:val="24"/>
            </w:rPr>
            <w:t>2.</w:t>
          </w:r>
          <w:r>
            <w:rPr>
              <w:rStyle w:val="13"/>
              <w:rFonts w:hint="eastAsia" w:ascii="宋体" w:hAnsi="宋体" w:eastAsia="宋体" w:cs="宋体"/>
              <w:sz w:val="24"/>
              <w:szCs w:val="24"/>
            </w:rPr>
            <w:t>建立教学质量标准，确立保障目标</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_Toc469900330 \h </w:instrText>
          </w:r>
          <w:r>
            <w:rPr>
              <w:rFonts w:ascii="宋体" w:hAnsi="宋体" w:eastAsia="宋体"/>
              <w:sz w:val="24"/>
              <w:szCs w:val="24"/>
            </w:rPr>
            <w:fldChar w:fldCharType="separate"/>
          </w:r>
          <w:r>
            <w:rPr>
              <w:rFonts w:ascii="宋体" w:hAnsi="宋体" w:eastAsia="宋体"/>
              <w:sz w:val="24"/>
              <w:szCs w:val="24"/>
            </w:rPr>
            <w:t>17</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"_Toc469900331" </w:instrText>
          </w:r>
          <w:r>
            <w:fldChar w:fldCharType="separate"/>
          </w:r>
          <w:r>
            <w:rPr>
              <w:rStyle w:val="13"/>
              <w:rFonts w:ascii="宋体" w:hAnsi="宋体" w:eastAsia="宋体" w:cs="宋体"/>
              <w:sz w:val="24"/>
              <w:szCs w:val="24"/>
            </w:rPr>
            <w:t>3.</w:t>
          </w:r>
          <w:r>
            <w:rPr>
              <w:rStyle w:val="13"/>
              <w:rFonts w:hint="eastAsia" w:ascii="宋体" w:hAnsi="宋体" w:eastAsia="宋体" w:cs="宋体"/>
              <w:sz w:val="24"/>
              <w:szCs w:val="24"/>
            </w:rPr>
            <w:t>建设质量保障组织，优化教学管理</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_Toc469900331 \h </w:instrText>
          </w:r>
          <w:r>
            <w:rPr>
              <w:rFonts w:ascii="宋体" w:hAnsi="宋体" w:eastAsia="宋体"/>
              <w:sz w:val="24"/>
              <w:szCs w:val="24"/>
            </w:rPr>
            <w:fldChar w:fldCharType="separate"/>
          </w:r>
          <w:r>
            <w:rPr>
              <w:rFonts w:ascii="宋体" w:hAnsi="宋体" w:eastAsia="宋体"/>
              <w:sz w:val="24"/>
              <w:szCs w:val="24"/>
            </w:rPr>
            <w:t>17</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"_Toc469900332" </w:instrText>
          </w:r>
          <w:r>
            <w:fldChar w:fldCharType="separate"/>
          </w:r>
          <w:r>
            <w:rPr>
              <w:rStyle w:val="13"/>
              <w:rFonts w:hint="eastAsia" w:ascii="宋体" w:hAnsi="宋体" w:eastAsia="宋体" w:cs="宋体"/>
              <w:sz w:val="24"/>
              <w:szCs w:val="24"/>
            </w:rPr>
            <w:t>（四）常态监测与专项评估</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_Toc469900332 \h </w:instrText>
          </w:r>
          <w:r>
            <w:rPr>
              <w:rFonts w:ascii="宋体" w:hAnsi="宋体" w:eastAsia="宋体"/>
              <w:sz w:val="24"/>
              <w:szCs w:val="24"/>
            </w:rPr>
            <w:fldChar w:fldCharType="separate"/>
          </w:r>
          <w:r>
            <w:rPr>
              <w:rFonts w:ascii="宋体" w:hAnsi="宋体" w:eastAsia="宋体"/>
              <w:sz w:val="24"/>
              <w:szCs w:val="24"/>
            </w:rPr>
            <w:t>17</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"_Toc469900333" </w:instrText>
          </w:r>
          <w:r>
            <w:fldChar w:fldCharType="separate"/>
          </w:r>
          <w:r>
            <w:rPr>
              <w:rStyle w:val="13"/>
              <w:rFonts w:ascii="宋体" w:hAnsi="宋体" w:eastAsia="宋体" w:cs="宋体"/>
              <w:sz w:val="24"/>
              <w:szCs w:val="24"/>
            </w:rPr>
            <w:t>1.</w:t>
          </w:r>
          <w:r>
            <w:rPr>
              <w:rStyle w:val="13"/>
              <w:rFonts w:hint="eastAsia" w:ascii="宋体" w:hAnsi="宋体" w:eastAsia="宋体" w:cs="宋体"/>
              <w:sz w:val="24"/>
              <w:szCs w:val="24"/>
            </w:rPr>
            <w:t>进行常态监测，保障教学质量</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_Toc469900333 \h </w:instrText>
          </w:r>
          <w:r>
            <w:rPr>
              <w:rFonts w:ascii="宋体" w:hAnsi="宋体" w:eastAsia="宋体"/>
              <w:sz w:val="24"/>
              <w:szCs w:val="24"/>
            </w:rPr>
            <w:fldChar w:fldCharType="separate"/>
          </w:r>
          <w:r>
            <w:rPr>
              <w:rFonts w:ascii="宋体" w:hAnsi="宋体" w:eastAsia="宋体"/>
              <w:sz w:val="24"/>
              <w:szCs w:val="24"/>
            </w:rPr>
            <w:t>17</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"_Toc469900334" </w:instrText>
          </w:r>
          <w:r>
            <w:fldChar w:fldCharType="separate"/>
          </w:r>
          <w:r>
            <w:rPr>
              <w:rStyle w:val="13"/>
              <w:rFonts w:ascii="宋体" w:hAnsi="宋体" w:eastAsia="宋体" w:cs="宋体"/>
              <w:sz w:val="24"/>
              <w:szCs w:val="24"/>
            </w:rPr>
            <w:t>2.</w:t>
          </w:r>
          <w:r>
            <w:rPr>
              <w:rStyle w:val="13"/>
              <w:rFonts w:hint="eastAsia" w:ascii="宋体" w:hAnsi="宋体" w:eastAsia="宋体" w:cs="宋体"/>
              <w:sz w:val="24"/>
              <w:szCs w:val="24"/>
            </w:rPr>
            <w:t>实施专项监测，提升教学质量</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_Toc469900334 \h </w:instrText>
          </w:r>
          <w:r>
            <w:rPr>
              <w:rFonts w:ascii="宋体" w:hAnsi="宋体" w:eastAsia="宋体"/>
              <w:sz w:val="24"/>
              <w:szCs w:val="24"/>
            </w:rPr>
            <w:fldChar w:fldCharType="separate"/>
          </w:r>
          <w:r>
            <w:rPr>
              <w:rFonts w:ascii="宋体" w:hAnsi="宋体" w:eastAsia="宋体"/>
              <w:sz w:val="24"/>
              <w:szCs w:val="24"/>
            </w:rPr>
            <w:t>18</w:t>
          </w:r>
          <w:r>
            <w:rPr>
              <w:rFonts w:ascii="宋体" w:hAnsi="宋体" w:eastAsia="宋体"/>
              <w:sz w:val="24"/>
              <w:szCs w:val="24"/>
            </w:rPr>
            <w:fldChar w:fldCharType="end"/>
          </w:r>
          <w:r>
            <w:rPr>
              <w:rFonts w:ascii="宋体" w:hAnsi="宋体" w:eastAsia="宋体"/>
              <w:sz w:val="24"/>
              <w:szCs w:val="24"/>
            </w:rPr>
            <w:fldChar w:fldCharType="end"/>
          </w:r>
        </w:p>
        <w:p>
          <w:pPr>
            <w:pStyle w:val="6"/>
            <w:spacing w:before="100" w:beforeLines="0"/>
            <w:rPr>
              <w:rFonts w:ascii="宋体" w:hAnsi="宋体" w:eastAsia="宋体"/>
              <w:kern w:val="2"/>
              <w:sz w:val="24"/>
              <w:szCs w:val="24"/>
            </w:rPr>
          </w:pPr>
          <w:r>
            <w:fldChar w:fldCharType="begin"/>
          </w:r>
          <w:r>
            <w:instrText xml:space="preserve"> HYPERLINK \l "_Toc469900335" </w:instrText>
          </w:r>
          <w:r>
            <w:fldChar w:fldCharType="separate"/>
          </w:r>
          <w:r>
            <w:rPr>
              <w:rStyle w:val="13"/>
              <w:rFonts w:ascii="宋体" w:hAnsi="宋体" w:eastAsia="宋体" w:cs="宋体"/>
              <w:sz w:val="24"/>
              <w:szCs w:val="24"/>
            </w:rPr>
            <w:t>3.</w:t>
          </w:r>
          <w:r>
            <w:rPr>
              <w:rStyle w:val="13"/>
              <w:rFonts w:hint="eastAsia" w:ascii="宋体" w:hAnsi="宋体" w:eastAsia="宋体" w:cs="宋体"/>
              <w:sz w:val="24"/>
              <w:szCs w:val="24"/>
            </w:rPr>
            <w:t>实行学业预警，确保教学质量</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_Toc469900335 \h </w:instrText>
          </w:r>
          <w:r>
            <w:rPr>
              <w:rFonts w:ascii="宋体" w:hAnsi="宋体" w:eastAsia="宋体"/>
              <w:sz w:val="24"/>
              <w:szCs w:val="24"/>
            </w:rPr>
            <w:fldChar w:fldCharType="separate"/>
          </w:r>
          <w:r>
            <w:rPr>
              <w:rFonts w:ascii="宋体" w:hAnsi="宋体" w:eastAsia="宋体"/>
              <w:sz w:val="24"/>
              <w:szCs w:val="24"/>
            </w:rPr>
            <w:t>18</w:t>
          </w:r>
          <w:r>
            <w:rPr>
              <w:rFonts w:ascii="宋体" w:hAnsi="宋体" w:eastAsia="宋体"/>
              <w:sz w:val="24"/>
              <w:szCs w:val="24"/>
            </w:rPr>
            <w:fldChar w:fldCharType="end"/>
          </w:r>
          <w:r>
            <w:rPr>
              <w:rFonts w:ascii="宋体" w:hAnsi="宋体" w:eastAsia="宋体"/>
              <w:sz w:val="24"/>
              <w:szCs w:val="24"/>
            </w:rPr>
            <w:fldChar w:fldCharType="end"/>
          </w:r>
        </w:p>
        <w:p>
          <w:pPr>
            <w:pStyle w:val="10"/>
            <w:tabs>
              <w:tab w:val="right" w:leader="dot" w:pos="8296"/>
            </w:tabs>
            <w:spacing w:before="100"/>
            <w:rPr>
              <w:rFonts w:ascii="宋体" w:hAnsi="宋体" w:eastAsia="宋体"/>
              <w:kern w:val="2"/>
              <w:sz w:val="24"/>
              <w:szCs w:val="24"/>
            </w:rPr>
          </w:pPr>
          <w:r>
            <w:fldChar w:fldCharType="begin"/>
          </w:r>
          <w:r>
            <w:instrText xml:space="preserve"> HYPERLINK \l "_Toc469900336" </w:instrText>
          </w:r>
          <w:r>
            <w:fldChar w:fldCharType="separate"/>
          </w:r>
          <w:r>
            <w:rPr>
              <w:rStyle w:val="13"/>
              <w:rFonts w:hint="eastAsia" w:ascii="宋体" w:hAnsi="宋体" w:eastAsia="宋体" w:cs="宋体"/>
              <w:snapToGrid w:val="0"/>
              <w:sz w:val="24"/>
              <w:szCs w:val="24"/>
            </w:rPr>
            <w:t>六、学生学习效果</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_Toc469900336 \h </w:instrText>
          </w:r>
          <w:r>
            <w:rPr>
              <w:rFonts w:ascii="宋体" w:hAnsi="宋体" w:eastAsia="宋体"/>
              <w:sz w:val="24"/>
              <w:szCs w:val="24"/>
            </w:rPr>
            <w:fldChar w:fldCharType="separate"/>
          </w:r>
          <w:r>
            <w:rPr>
              <w:rFonts w:ascii="宋体" w:hAnsi="宋体" w:eastAsia="宋体"/>
              <w:sz w:val="24"/>
              <w:szCs w:val="24"/>
            </w:rPr>
            <w:t>19</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"_Toc469900337" </w:instrText>
          </w:r>
          <w:r>
            <w:fldChar w:fldCharType="separate"/>
          </w:r>
          <w:r>
            <w:rPr>
              <w:rStyle w:val="13"/>
              <w:rFonts w:hint="eastAsia" w:ascii="宋体" w:hAnsi="宋体" w:eastAsia="宋体" w:cs="宋体"/>
              <w:sz w:val="24"/>
              <w:szCs w:val="24"/>
            </w:rPr>
            <w:t>（一）学生学习满意度</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_Toc469900337 \h </w:instrText>
          </w:r>
          <w:r>
            <w:rPr>
              <w:rFonts w:ascii="宋体" w:hAnsi="宋体" w:eastAsia="宋体"/>
              <w:sz w:val="24"/>
              <w:szCs w:val="24"/>
            </w:rPr>
            <w:fldChar w:fldCharType="separate"/>
          </w:r>
          <w:r>
            <w:rPr>
              <w:rFonts w:ascii="宋体" w:hAnsi="宋体" w:eastAsia="宋体"/>
              <w:sz w:val="24"/>
              <w:szCs w:val="24"/>
            </w:rPr>
            <w:t>19</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"_Toc469900338" </w:instrText>
          </w:r>
          <w:r>
            <w:fldChar w:fldCharType="separate"/>
          </w:r>
          <w:r>
            <w:rPr>
              <w:rStyle w:val="13"/>
              <w:rFonts w:hint="eastAsia" w:ascii="宋体" w:hAnsi="宋体" w:eastAsia="宋体" w:cs="宋体"/>
              <w:sz w:val="24"/>
              <w:szCs w:val="24"/>
            </w:rPr>
            <w:t>（二）应届本科毕业生毕业、学位授予、升学、就业情况</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_Toc469900338 \h </w:instrText>
          </w:r>
          <w:r>
            <w:rPr>
              <w:rFonts w:ascii="宋体" w:hAnsi="宋体" w:eastAsia="宋体"/>
              <w:sz w:val="24"/>
              <w:szCs w:val="24"/>
            </w:rPr>
            <w:fldChar w:fldCharType="separate"/>
          </w:r>
          <w:r>
            <w:rPr>
              <w:rFonts w:ascii="宋体" w:hAnsi="宋体" w:eastAsia="宋体"/>
              <w:sz w:val="24"/>
              <w:szCs w:val="24"/>
            </w:rPr>
            <w:t>19</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"_Toc469900339" </w:instrText>
          </w:r>
          <w:r>
            <w:fldChar w:fldCharType="separate"/>
          </w:r>
          <w:r>
            <w:rPr>
              <w:rStyle w:val="13"/>
              <w:rFonts w:hint="eastAsia" w:ascii="宋体" w:hAnsi="宋体" w:eastAsia="宋体" w:cs="宋体"/>
              <w:sz w:val="24"/>
              <w:szCs w:val="24"/>
            </w:rPr>
            <w:t>（三）社会用人单位对毕业生评价</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_Toc469900339 \h </w:instrText>
          </w:r>
          <w:r>
            <w:rPr>
              <w:rFonts w:ascii="宋体" w:hAnsi="宋体" w:eastAsia="宋体"/>
              <w:sz w:val="24"/>
              <w:szCs w:val="24"/>
            </w:rPr>
            <w:fldChar w:fldCharType="separate"/>
          </w:r>
          <w:r>
            <w:rPr>
              <w:rFonts w:ascii="宋体" w:hAnsi="宋体" w:eastAsia="宋体"/>
              <w:sz w:val="24"/>
              <w:szCs w:val="24"/>
            </w:rPr>
            <w:t>19</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"_Toc469900340" </w:instrText>
          </w:r>
          <w:r>
            <w:fldChar w:fldCharType="separate"/>
          </w:r>
          <w:r>
            <w:rPr>
              <w:rStyle w:val="13"/>
              <w:rFonts w:hint="eastAsia" w:ascii="宋体" w:hAnsi="宋体" w:eastAsia="宋体" w:cs="宋体"/>
              <w:sz w:val="24"/>
              <w:szCs w:val="24"/>
            </w:rPr>
            <w:t>（四）奖助学金情况</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_Toc469900340 \h </w:instrText>
          </w:r>
          <w:r>
            <w:rPr>
              <w:rFonts w:ascii="宋体" w:hAnsi="宋体" w:eastAsia="宋体"/>
              <w:sz w:val="24"/>
              <w:szCs w:val="24"/>
            </w:rPr>
            <w:fldChar w:fldCharType="separate"/>
          </w:r>
          <w:r>
            <w:rPr>
              <w:rFonts w:ascii="宋体" w:hAnsi="宋体" w:eastAsia="宋体"/>
              <w:sz w:val="24"/>
              <w:szCs w:val="24"/>
            </w:rPr>
            <w:t>19</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"_Toc469900341" </w:instrText>
          </w:r>
          <w:r>
            <w:fldChar w:fldCharType="separate"/>
          </w:r>
          <w:r>
            <w:rPr>
              <w:rStyle w:val="13"/>
              <w:rFonts w:hint="eastAsia" w:ascii="宋体" w:hAnsi="宋体" w:eastAsia="宋体" w:cs="宋体"/>
              <w:sz w:val="24"/>
              <w:szCs w:val="24"/>
            </w:rPr>
            <w:t>（五）本科学习成果</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_Toc469900341 \h </w:instrText>
          </w:r>
          <w:r>
            <w:rPr>
              <w:rFonts w:ascii="宋体" w:hAnsi="宋体" w:eastAsia="宋体"/>
              <w:sz w:val="24"/>
              <w:szCs w:val="24"/>
            </w:rPr>
            <w:fldChar w:fldCharType="separate"/>
          </w:r>
          <w:r>
            <w:rPr>
              <w:rFonts w:ascii="宋体" w:hAnsi="宋体" w:eastAsia="宋体"/>
              <w:sz w:val="24"/>
              <w:szCs w:val="24"/>
            </w:rPr>
            <w:t>19</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"_Toc469900342" </w:instrText>
          </w:r>
          <w:r>
            <w:fldChar w:fldCharType="separate"/>
          </w:r>
          <w:r>
            <w:rPr>
              <w:rStyle w:val="13"/>
              <w:rFonts w:hint="eastAsia" w:ascii="宋体" w:hAnsi="宋体" w:eastAsia="宋体" w:cs="宋体"/>
              <w:sz w:val="24"/>
              <w:szCs w:val="24"/>
            </w:rPr>
            <w:t>（六）毕业生成就</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_Toc469900342 \h </w:instrText>
          </w:r>
          <w:r>
            <w:rPr>
              <w:rFonts w:ascii="宋体" w:hAnsi="宋体" w:eastAsia="宋体"/>
              <w:sz w:val="24"/>
              <w:szCs w:val="24"/>
            </w:rPr>
            <w:fldChar w:fldCharType="separate"/>
          </w:r>
          <w:r>
            <w:rPr>
              <w:rFonts w:ascii="宋体" w:hAnsi="宋体" w:eastAsia="宋体"/>
              <w:sz w:val="24"/>
              <w:szCs w:val="24"/>
            </w:rPr>
            <w:t>22</w:t>
          </w:r>
          <w:r>
            <w:rPr>
              <w:rFonts w:ascii="宋体" w:hAnsi="宋体" w:eastAsia="宋体"/>
              <w:sz w:val="24"/>
              <w:szCs w:val="24"/>
            </w:rPr>
            <w:fldChar w:fldCharType="end"/>
          </w:r>
          <w:r>
            <w:rPr>
              <w:rFonts w:ascii="宋体" w:hAnsi="宋体" w:eastAsia="宋体"/>
              <w:sz w:val="24"/>
              <w:szCs w:val="24"/>
            </w:rPr>
            <w:fldChar w:fldCharType="end"/>
          </w:r>
        </w:p>
        <w:p>
          <w:pPr>
            <w:pStyle w:val="10"/>
            <w:tabs>
              <w:tab w:val="right" w:leader="dot" w:pos="8296"/>
            </w:tabs>
            <w:spacing w:before="100"/>
            <w:rPr>
              <w:rFonts w:ascii="宋体" w:hAnsi="宋体" w:eastAsia="宋体"/>
              <w:kern w:val="2"/>
              <w:sz w:val="24"/>
              <w:szCs w:val="24"/>
            </w:rPr>
          </w:pPr>
          <w:r>
            <w:fldChar w:fldCharType="begin"/>
          </w:r>
          <w:r>
            <w:instrText xml:space="preserve"> HYPERLINK \l "_Toc469900343" </w:instrText>
          </w:r>
          <w:r>
            <w:fldChar w:fldCharType="separate"/>
          </w:r>
          <w:r>
            <w:rPr>
              <w:rStyle w:val="13"/>
              <w:rFonts w:hint="eastAsia" w:ascii="宋体" w:hAnsi="宋体" w:eastAsia="宋体" w:cs="宋体"/>
              <w:snapToGrid w:val="0"/>
              <w:sz w:val="24"/>
              <w:szCs w:val="24"/>
            </w:rPr>
            <w:t>七、特色发展</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_Toc469900343 \h </w:instrText>
          </w:r>
          <w:r>
            <w:rPr>
              <w:rFonts w:ascii="宋体" w:hAnsi="宋体" w:eastAsia="宋体"/>
              <w:sz w:val="24"/>
              <w:szCs w:val="24"/>
            </w:rPr>
            <w:fldChar w:fldCharType="separate"/>
          </w:r>
          <w:r>
            <w:rPr>
              <w:rFonts w:ascii="宋体" w:hAnsi="宋体" w:eastAsia="宋体"/>
              <w:sz w:val="24"/>
              <w:szCs w:val="24"/>
            </w:rPr>
            <w:t>22</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"_Toc469900344" </w:instrText>
          </w:r>
          <w:r>
            <w:fldChar w:fldCharType="separate"/>
          </w:r>
          <w:r>
            <w:rPr>
              <w:rStyle w:val="13"/>
              <w:rFonts w:hint="eastAsia" w:ascii="宋体" w:hAnsi="宋体" w:eastAsia="宋体" w:cs="宋体"/>
              <w:sz w:val="24"/>
              <w:szCs w:val="24"/>
            </w:rPr>
            <w:t>（一）实行校政合作，借势进入产业市场</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_Toc469900344 \h </w:instrText>
          </w:r>
          <w:r>
            <w:rPr>
              <w:rFonts w:ascii="宋体" w:hAnsi="宋体" w:eastAsia="宋体"/>
              <w:sz w:val="24"/>
              <w:szCs w:val="24"/>
            </w:rPr>
            <w:fldChar w:fldCharType="separate"/>
          </w:r>
          <w:r>
            <w:rPr>
              <w:rFonts w:ascii="宋体" w:hAnsi="宋体" w:eastAsia="宋体"/>
              <w:sz w:val="24"/>
              <w:szCs w:val="24"/>
            </w:rPr>
            <w:t>22</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"_Toc469900345" </w:instrText>
          </w:r>
          <w:r>
            <w:fldChar w:fldCharType="separate"/>
          </w:r>
          <w:r>
            <w:rPr>
              <w:rStyle w:val="13"/>
              <w:rFonts w:hint="eastAsia" w:ascii="宋体" w:hAnsi="宋体" w:eastAsia="宋体" w:cs="宋体"/>
              <w:sz w:val="24"/>
              <w:szCs w:val="24"/>
            </w:rPr>
            <w:t>（二）办学规模适度，坚持服装教育特色</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_Toc469900345 \h </w:instrText>
          </w:r>
          <w:r>
            <w:rPr>
              <w:rFonts w:ascii="宋体" w:hAnsi="宋体" w:eastAsia="宋体"/>
              <w:sz w:val="24"/>
              <w:szCs w:val="24"/>
            </w:rPr>
            <w:fldChar w:fldCharType="separate"/>
          </w:r>
          <w:r>
            <w:rPr>
              <w:rFonts w:ascii="宋体" w:hAnsi="宋体" w:eastAsia="宋体"/>
              <w:sz w:val="24"/>
              <w:szCs w:val="24"/>
            </w:rPr>
            <w:t>23</w:t>
          </w:r>
          <w:r>
            <w:rPr>
              <w:rFonts w:ascii="宋体" w:hAnsi="宋体" w:eastAsia="宋体"/>
              <w:sz w:val="24"/>
              <w:szCs w:val="24"/>
            </w:rPr>
            <w:fldChar w:fldCharType="end"/>
          </w:r>
          <w:r>
            <w:rPr>
              <w:rFonts w:ascii="宋体" w:hAnsi="宋体" w:eastAsia="宋体"/>
              <w:sz w:val="24"/>
              <w:szCs w:val="24"/>
            </w:rPr>
            <w:fldChar w:fldCharType="end"/>
          </w:r>
        </w:p>
        <w:p>
          <w:pPr>
            <w:pStyle w:val="10"/>
            <w:tabs>
              <w:tab w:val="right" w:leader="dot" w:pos="8296"/>
            </w:tabs>
            <w:spacing w:before="100"/>
            <w:rPr>
              <w:rFonts w:ascii="宋体" w:hAnsi="宋体" w:eastAsia="宋体"/>
              <w:kern w:val="2"/>
              <w:sz w:val="24"/>
              <w:szCs w:val="24"/>
            </w:rPr>
          </w:pPr>
          <w:r>
            <w:fldChar w:fldCharType="begin"/>
          </w:r>
          <w:r>
            <w:instrText xml:space="preserve"> HYPERLINK \l "_Toc469900346" </w:instrText>
          </w:r>
          <w:r>
            <w:fldChar w:fldCharType="separate"/>
          </w:r>
          <w:r>
            <w:rPr>
              <w:rStyle w:val="13"/>
              <w:rFonts w:hint="eastAsia" w:ascii="宋体" w:hAnsi="宋体" w:eastAsia="宋体" w:cs="宋体"/>
              <w:snapToGrid w:val="0"/>
              <w:sz w:val="24"/>
              <w:szCs w:val="24"/>
            </w:rPr>
            <w:t>八、存在的主要问题与对策分析</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_Toc469900346 \h </w:instrText>
          </w:r>
          <w:r>
            <w:rPr>
              <w:rFonts w:ascii="宋体" w:hAnsi="宋体" w:eastAsia="宋体"/>
              <w:sz w:val="24"/>
              <w:szCs w:val="24"/>
            </w:rPr>
            <w:fldChar w:fldCharType="separate"/>
          </w:r>
          <w:r>
            <w:rPr>
              <w:rFonts w:ascii="宋体" w:hAnsi="宋体" w:eastAsia="宋体"/>
              <w:sz w:val="24"/>
              <w:szCs w:val="24"/>
            </w:rPr>
            <w:t>23</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"_Toc469900347" </w:instrText>
          </w:r>
          <w:r>
            <w:fldChar w:fldCharType="separate"/>
          </w:r>
          <w:r>
            <w:rPr>
              <w:rStyle w:val="13"/>
              <w:rFonts w:hint="eastAsia" w:ascii="宋体" w:hAnsi="宋体" w:eastAsia="宋体" w:cs="宋体"/>
              <w:sz w:val="24"/>
              <w:szCs w:val="24"/>
            </w:rPr>
            <w:t>（一）实施人才建设工程，优化师资队伍</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_Toc469900347 \h </w:instrText>
          </w:r>
          <w:r>
            <w:rPr>
              <w:rFonts w:ascii="宋体" w:hAnsi="宋体" w:eastAsia="宋体"/>
              <w:sz w:val="24"/>
              <w:szCs w:val="24"/>
            </w:rPr>
            <w:fldChar w:fldCharType="separate"/>
          </w:r>
          <w:r>
            <w:rPr>
              <w:rFonts w:ascii="宋体" w:hAnsi="宋体" w:eastAsia="宋体"/>
              <w:sz w:val="24"/>
              <w:szCs w:val="24"/>
            </w:rPr>
            <w:t>23</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"_Toc469900348" </w:instrText>
          </w:r>
          <w:r>
            <w:fldChar w:fldCharType="separate"/>
          </w:r>
          <w:r>
            <w:rPr>
              <w:rStyle w:val="13"/>
              <w:rFonts w:hint="eastAsia" w:ascii="宋体" w:hAnsi="宋体" w:eastAsia="宋体" w:cs="宋体"/>
              <w:sz w:val="24"/>
              <w:szCs w:val="24"/>
            </w:rPr>
            <w:t>（二）优化学科布局和专业结构</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_Toc469900348 \h </w:instrText>
          </w:r>
          <w:r>
            <w:rPr>
              <w:rFonts w:ascii="宋体" w:hAnsi="宋体" w:eastAsia="宋体"/>
              <w:sz w:val="24"/>
              <w:szCs w:val="24"/>
            </w:rPr>
            <w:fldChar w:fldCharType="separate"/>
          </w:r>
          <w:r>
            <w:rPr>
              <w:rFonts w:ascii="宋体" w:hAnsi="宋体" w:eastAsia="宋体"/>
              <w:sz w:val="24"/>
              <w:szCs w:val="24"/>
            </w:rPr>
            <w:t>24</w:t>
          </w:r>
          <w:r>
            <w:rPr>
              <w:rFonts w:ascii="宋体" w:hAnsi="宋体" w:eastAsia="宋体"/>
              <w:sz w:val="24"/>
              <w:szCs w:val="24"/>
            </w:rPr>
            <w:fldChar w:fldCharType="end"/>
          </w:r>
          <w:r>
            <w:rPr>
              <w:rFonts w:ascii="宋体" w:hAnsi="宋体" w:eastAsia="宋体"/>
              <w:sz w:val="24"/>
              <w:szCs w:val="24"/>
            </w:rPr>
            <w:fldChar w:fldCharType="end"/>
          </w:r>
        </w:p>
        <w:p>
          <w:pPr>
            <w:pStyle w:val="4"/>
            <w:tabs>
              <w:tab w:val="right" w:leader="dot" w:pos="8296"/>
            </w:tabs>
            <w:spacing w:before="100"/>
            <w:rPr>
              <w:rFonts w:ascii="宋体" w:hAnsi="宋体" w:eastAsia="宋体"/>
              <w:smallCaps w:val="0"/>
              <w:kern w:val="2"/>
              <w:sz w:val="24"/>
              <w:szCs w:val="24"/>
            </w:rPr>
          </w:pPr>
          <w:r>
            <w:fldChar w:fldCharType="begin"/>
          </w:r>
          <w:r>
            <w:instrText xml:space="preserve"> HYPERLINK \l "_Toc469900349" </w:instrText>
          </w:r>
          <w:r>
            <w:fldChar w:fldCharType="separate"/>
          </w:r>
          <w:r>
            <w:rPr>
              <w:rStyle w:val="13"/>
              <w:rFonts w:hint="eastAsia" w:ascii="宋体" w:hAnsi="宋体" w:eastAsia="宋体" w:cs="宋体"/>
              <w:sz w:val="24"/>
              <w:szCs w:val="24"/>
            </w:rPr>
            <w:t>（三）推进学风建设</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_Toc469900349 \h </w:instrText>
          </w:r>
          <w:r>
            <w:rPr>
              <w:rFonts w:ascii="宋体" w:hAnsi="宋体" w:eastAsia="宋体"/>
              <w:sz w:val="24"/>
              <w:szCs w:val="24"/>
            </w:rPr>
            <w:fldChar w:fldCharType="separate"/>
          </w:r>
          <w:r>
            <w:rPr>
              <w:rFonts w:ascii="宋体" w:hAnsi="宋体" w:eastAsia="宋体"/>
              <w:sz w:val="24"/>
              <w:szCs w:val="24"/>
            </w:rPr>
            <w:t>24</w:t>
          </w:r>
          <w:r>
            <w:rPr>
              <w:rFonts w:ascii="宋体" w:hAnsi="宋体" w:eastAsia="宋体"/>
              <w:sz w:val="24"/>
              <w:szCs w:val="24"/>
            </w:rPr>
            <w:fldChar w:fldCharType="end"/>
          </w:r>
          <w:r>
            <w:rPr>
              <w:rFonts w:ascii="宋体" w:hAnsi="宋体" w:eastAsia="宋体"/>
              <w:sz w:val="24"/>
              <w:szCs w:val="24"/>
            </w:rPr>
            <w:fldChar w:fldCharType="end"/>
          </w:r>
        </w:p>
        <w:p>
          <w:pPr>
            <w:spacing w:before="100"/>
            <w:rPr>
              <w:rFonts w:ascii="宋体" w:hAnsi="宋体" w:eastAsia="宋体"/>
              <w:sz w:val="24"/>
              <w:szCs w:val="24"/>
            </w:rPr>
          </w:pPr>
          <w:r>
            <w:rPr>
              <w:rFonts w:ascii="宋体" w:hAnsi="宋体" w:eastAsia="宋体"/>
              <w:b/>
              <w:bCs/>
              <w:sz w:val="24"/>
              <w:szCs w:val="24"/>
              <w:lang w:val="zh-CN"/>
            </w:rPr>
            <w:fldChar w:fldCharType="end"/>
          </w:r>
        </w:p>
      </w:sdtContent>
    </w:sdt>
    <w:p>
      <w:pPr>
        <w:rPr>
          <w:lang w:val="zh-CN"/>
        </w:rPr>
        <w:sectPr>
          <w:footerReference r:id="rId5" w:type="default"/>
          <w:pgSz w:w="11906" w:h="16838"/>
          <w:pgMar w:top="1440" w:right="1800" w:bottom="1440" w:left="1800" w:header="851" w:footer="992" w:gutter="0"/>
          <w:cols w:space="425" w:num="1"/>
          <w:docGrid w:type="lines" w:linePitch="312" w:charSpace="0"/>
        </w:sectPr>
      </w:pPr>
    </w:p>
    <w:p>
      <w:pPr>
        <w:jc w:val="center"/>
        <w:rPr>
          <w:rFonts w:ascii="黑体" w:hAnsi="黑体" w:eastAsia="黑体"/>
          <w:b/>
          <w:sz w:val="36"/>
          <w:szCs w:val="36"/>
          <w:lang w:val="zh-CN"/>
        </w:rPr>
      </w:pPr>
      <w:r>
        <w:rPr>
          <w:rFonts w:ascii="黑体" w:hAnsi="黑体" w:eastAsia="黑体"/>
          <w:b/>
          <w:sz w:val="36"/>
          <w:szCs w:val="36"/>
          <w:lang w:val="zh-CN"/>
        </w:rPr>
        <w:t>江西服装学院</w:t>
      </w:r>
      <w:r>
        <w:rPr>
          <w:rFonts w:hint="eastAsia" w:ascii="黑体" w:hAnsi="黑体" w:eastAsia="黑体"/>
          <w:b/>
          <w:sz w:val="36"/>
          <w:szCs w:val="36"/>
          <w:lang w:val="zh-CN"/>
        </w:rPr>
        <w:t>2015-2016学年本科教学质量报告</w:t>
      </w:r>
    </w:p>
    <w:p>
      <w:pPr>
        <w:pStyle w:val="2"/>
        <w:spacing w:before="0" w:after="0" w:line="240" w:lineRule="auto"/>
        <w:rPr>
          <w:rFonts w:ascii="黑体" w:hAnsi="黑体" w:eastAsia="黑体" w:cs="宋体"/>
          <w:b w:val="0"/>
          <w:bCs w:val="0"/>
          <w:snapToGrid w:val="0"/>
          <w:color w:val="000000" w:themeColor="text1"/>
          <w:sz w:val="30"/>
          <w:szCs w:val="30"/>
          <w14:textFill>
            <w14:solidFill>
              <w14:schemeClr w14:val="tx1"/>
            </w14:solidFill>
          </w14:textFill>
        </w:rPr>
      </w:pPr>
      <w:bookmarkStart w:id="1" w:name="_Toc469036820"/>
      <w:bookmarkStart w:id="2" w:name="_Toc465498439"/>
      <w:bookmarkStart w:id="3" w:name="_Toc465671296"/>
      <w:bookmarkStart w:id="4" w:name="_Toc469900291"/>
      <w:bookmarkStart w:id="5" w:name="_Toc16396"/>
      <w:bookmarkStart w:id="6" w:name="_Toc465499571"/>
      <w:r>
        <w:rPr>
          <w:rFonts w:hint="eastAsia" w:ascii="黑体" w:hAnsi="黑体" w:eastAsia="黑体" w:cs="宋体"/>
          <w:b w:val="0"/>
          <w:bCs w:val="0"/>
          <w:snapToGrid w:val="0"/>
          <w:color w:val="000000" w:themeColor="text1"/>
          <w:sz w:val="30"/>
          <w:szCs w:val="30"/>
          <w14:textFill>
            <w14:solidFill>
              <w14:schemeClr w14:val="tx1"/>
            </w14:solidFill>
          </w14:textFill>
        </w:rPr>
        <w:t>一、学校基本概况</w:t>
      </w:r>
      <w:bookmarkEnd w:id="0"/>
      <w:bookmarkEnd w:id="1"/>
      <w:bookmarkEnd w:id="2"/>
      <w:bookmarkEnd w:id="3"/>
      <w:bookmarkEnd w:id="4"/>
      <w:bookmarkEnd w:id="5"/>
      <w:bookmarkEnd w:id="6"/>
      <w:bookmarkStart w:id="7" w:name="_Toc465417244"/>
    </w:p>
    <w:p>
      <w:pPr>
        <w:pStyle w:val="3"/>
        <w:spacing w:line="240" w:lineRule="auto"/>
        <w:ind w:left="0" w:firstLine="0" w:firstLineChars="0"/>
        <w:rPr>
          <w:rFonts w:ascii="黑体" w:hAnsi="黑体" w:cs="宋体"/>
          <w:b w:val="0"/>
          <w:bCs w:val="0"/>
          <w:snapToGrid/>
          <w:color w:val="000000" w:themeColor="text1"/>
          <w14:textFill>
            <w14:solidFill>
              <w14:schemeClr w14:val="tx1"/>
            </w14:solidFill>
          </w14:textFill>
        </w:rPr>
      </w:pPr>
      <w:bookmarkStart w:id="8" w:name="_Toc469900292"/>
      <w:bookmarkStart w:id="9" w:name="_Toc469036821"/>
      <w:bookmarkStart w:id="10" w:name="_Toc11633"/>
      <w:bookmarkStart w:id="11" w:name="_Toc465433465"/>
      <w:bookmarkStart w:id="12" w:name="_Toc465671297"/>
      <w:bookmarkStart w:id="13" w:name="_Toc465498440"/>
      <w:bookmarkStart w:id="14" w:name="_Toc465499572"/>
      <w:r>
        <w:rPr>
          <w:rFonts w:hint="eastAsia" w:ascii="黑体" w:hAnsi="黑体" w:cs="宋体"/>
          <w:b w:val="0"/>
          <w:bCs w:val="0"/>
          <w:snapToGrid/>
          <w:color w:val="000000" w:themeColor="text1"/>
          <w14:textFill>
            <w14:solidFill>
              <w14:schemeClr w14:val="tx1"/>
            </w14:solidFill>
          </w14:textFill>
        </w:rPr>
        <w:t>（一）学校概况</w:t>
      </w:r>
      <w:bookmarkEnd w:id="7"/>
      <w:bookmarkEnd w:id="8"/>
      <w:bookmarkEnd w:id="9"/>
      <w:bookmarkEnd w:id="10"/>
      <w:bookmarkEnd w:id="11"/>
      <w:bookmarkEnd w:id="12"/>
      <w:bookmarkEnd w:id="13"/>
      <w:bookmarkEnd w:id="14"/>
    </w:p>
    <w:p>
      <w:pPr>
        <w:spacing w:line="400" w:lineRule="exact"/>
        <w:ind w:firstLine="480" w:firstLineChars="200"/>
        <w:jc w:val="both"/>
        <w:rPr>
          <w:rFonts w:asciiTheme="minorEastAsia" w:hAnsiTheme="minorEastAsia" w:cstheme="minorEastAsia"/>
          <w:sz w:val="24"/>
          <w:szCs w:val="24"/>
        </w:rPr>
      </w:pPr>
      <w:bookmarkStart w:id="15" w:name="_Toc465433466"/>
      <w:r>
        <w:rPr>
          <w:rFonts w:hint="eastAsia" w:asciiTheme="minorEastAsia" w:hAnsiTheme="minorEastAsia" w:cstheme="minorEastAsia"/>
          <w:sz w:val="24"/>
          <w:szCs w:val="24"/>
        </w:rPr>
        <w:t>江西服装学院是经国家教育部批准设立的全日制普通本科高校,是一所面向时尚行业，以培养创意设计、工程技术、市场推广和经营管理等高级专门人才为主的专业性院校。学院由服装世家涂润华先生创办于1991年。1998年更名为江西服装专修学院；2003年，经江西省人民政府批准，成立江西服装职业技术学院，实施全日制普通高等职业教育。2011年，经国家教育部批准在江西服装职业技术学院的基础上建立江西服装学院，成为一所普通本科高校。2015年，获批学士学位授予权并于同年由江西省教育厅确定为首批转型发展试点本科高校。</w:t>
      </w:r>
      <w:bookmarkEnd w:id="15"/>
    </w:p>
    <w:p>
      <w:pPr>
        <w:spacing w:line="440" w:lineRule="exact"/>
        <w:ind w:firstLine="480" w:firstLineChars="200"/>
        <w:rPr>
          <w:rFonts w:asciiTheme="minorEastAsia" w:hAnsiTheme="minorEastAsia" w:cstheme="minorEastAsia"/>
          <w:sz w:val="24"/>
          <w:szCs w:val="24"/>
        </w:rPr>
      </w:pPr>
      <w:r>
        <w:rPr>
          <w:rFonts w:asciiTheme="minorEastAsia" w:hAnsiTheme="minorEastAsia" w:cstheme="minorEastAsia"/>
          <w:sz w:val="24"/>
          <w:szCs w:val="24"/>
        </w:rPr>
        <w:t>学校恪守公益性、非营利性办学原则，</w:t>
      </w:r>
      <w:r>
        <w:rPr>
          <w:rFonts w:hint="eastAsia" w:asciiTheme="minorEastAsia" w:hAnsiTheme="minorEastAsia" w:cstheme="minorEastAsia"/>
          <w:sz w:val="24"/>
          <w:szCs w:val="24"/>
        </w:rPr>
        <w:t>秉承“特色立校、质量强校”的办学理念；实行“理事会决策，院长治校，教授治学，党委监督，民主管理”得管理体制。立足江西区域经济，积极融入区域经济建设，重点面向我国服装产业，努力贡献服装产业发展和科技进步，培养具有艺术工学特色得“四创型”（创意、创造、创新、创业</w:t>
      </w:r>
      <w:r>
        <w:rPr>
          <w:rFonts w:asciiTheme="minorEastAsia" w:hAnsiTheme="minorEastAsia" w:cstheme="minorEastAsia"/>
          <w:sz w:val="24"/>
          <w:szCs w:val="24"/>
        </w:rPr>
        <w:t>）高素质应用技术型人才</w:t>
      </w:r>
      <w:r>
        <w:rPr>
          <w:rFonts w:hint="eastAsia" w:asciiTheme="minorEastAsia" w:hAnsiTheme="minorEastAsia" w:cstheme="minorEastAsia"/>
          <w:sz w:val="24"/>
          <w:szCs w:val="24"/>
        </w:rPr>
        <w:t>，</w:t>
      </w:r>
      <w:r>
        <w:rPr>
          <w:rFonts w:asciiTheme="minorEastAsia" w:hAnsiTheme="minorEastAsia" w:cstheme="minorEastAsia"/>
          <w:sz w:val="24"/>
          <w:szCs w:val="24"/>
        </w:rPr>
        <w:t xml:space="preserve">建设有特色高水平应用技术型本科大学。 </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学校位于南昌市向塘经济开发区，学院占地面积806.79亩，现有建筑面积47.75万平方米。设有服装设计分院、服装管理分院、服装工程分院、服装商贸分院、艺术设计分院、时尚传媒分院、公共教学部、思想政治理论教学科研部、创业学院等七院二部。开设了19个本科专业</w:t>
      </w:r>
      <w:r>
        <w:rPr>
          <w:rFonts w:asciiTheme="minorEastAsia" w:hAnsiTheme="minorEastAsia" w:cstheme="minorEastAsia"/>
          <w:sz w:val="24"/>
          <w:szCs w:val="24"/>
        </w:rPr>
        <w:t>，覆盖经济学、文学、工学、管理学、艺术学等</w:t>
      </w:r>
      <w:r>
        <w:rPr>
          <w:rFonts w:hint="eastAsia" w:asciiTheme="minorEastAsia" w:hAnsiTheme="minorEastAsia" w:cstheme="minorEastAsia"/>
          <w:sz w:val="24"/>
          <w:szCs w:val="24"/>
        </w:rPr>
        <w:t>5</w:t>
      </w:r>
      <w:r>
        <w:rPr>
          <w:rFonts w:asciiTheme="minorEastAsia" w:hAnsiTheme="minorEastAsia" w:cstheme="minorEastAsia"/>
          <w:sz w:val="24"/>
          <w:szCs w:val="24"/>
        </w:rPr>
        <w:t>个学科门类。</w:t>
      </w:r>
    </w:p>
    <w:p>
      <w:pPr>
        <w:spacing w:line="400" w:lineRule="exact"/>
        <w:ind w:firstLine="480" w:firstLineChars="200"/>
        <w:jc w:val="both"/>
        <w:rPr>
          <w:rFonts w:ascii="宋体" w:hAnsi="宋体"/>
          <w:sz w:val="24"/>
        </w:rPr>
      </w:pPr>
      <w:r>
        <w:rPr>
          <w:rFonts w:hint="eastAsia" w:ascii="宋体" w:hAnsi="宋体"/>
          <w:sz w:val="24"/>
        </w:rPr>
        <w:t>学校拥有全国社会科学普及教育基地1个，省级社会科学知识普及宣传基地1个，省级科技创新研发平台1个，省级“十二五”重点建设学科1个，省文化艺术科学重点研究基地1个，</w:t>
      </w:r>
      <w:r>
        <w:rPr>
          <w:rFonts w:ascii="宋体" w:hAnsi="宋体"/>
          <w:sz w:val="24"/>
        </w:rPr>
        <w:t>“学雷锋活动基地”</w:t>
      </w:r>
      <w:r>
        <w:rPr>
          <w:rFonts w:hint="eastAsia" w:ascii="宋体" w:hAnsi="宋体"/>
          <w:sz w:val="24"/>
        </w:rPr>
        <w:t>1个，素质拓展基地1个，中国纺织工业联合会纺织教育教学成果奖9项，省级卓越人才培养项目2个，综合改革项目1个，省级特色专业4个，省级人才培养模式创新实验区2个，省级精品课程6个，省级教学团队2个，教学名师、中青年骨干教师8人。</w:t>
      </w:r>
    </w:p>
    <w:p>
      <w:pPr>
        <w:spacing w:line="400" w:lineRule="exact"/>
        <w:ind w:firstLine="480" w:firstLineChars="200"/>
        <w:jc w:val="both"/>
        <w:rPr>
          <w:rFonts w:ascii="宋体" w:hAnsi="宋体"/>
          <w:sz w:val="24"/>
        </w:rPr>
      </w:pPr>
      <w:r>
        <w:rPr>
          <w:rFonts w:hint="eastAsia" w:ascii="宋体" w:hAnsi="宋体"/>
          <w:sz w:val="24"/>
        </w:rPr>
        <w:t>学校坚持“</w:t>
      </w:r>
      <w:r>
        <w:rPr>
          <w:rFonts w:hint="eastAsia" w:asciiTheme="minorEastAsia" w:hAnsiTheme="minorEastAsia" w:cstheme="minorEastAsia"/>
          <w:sz w:val="24"/>
          <w:szCs w:val="24"/>
        </w:rPr>
        <w:t>面向产业，艺工结合，产教融合，校企合作</w:t>
      </w:r>
      <w:r>
        <w:rPr>
          <w:rFonts w:hint="eastAsia" w:ascii="宋体" w:hAnsi="宋体"/>
          <w:sz w:val="24"/>
        </w:rPr>
        <w:t>”</w:t>
      </w:r>
      <w:r>
        <w:rPr>
          <w:rFonts w:hint="eastAsia" w:asciiTheme="minorEastAsia" w:hAnsiTheme="minorEastAsia" w:cstheme="minorEastAsia"/>
          <w:sz w:val="24"/>
          <w:szCs w:val="24"/>
        </w:rPr>
        <w:t>教育发展模式</w:t>
      </w:r>
      <w:r>
        <w:rPr>
          <w:rFonts w:hint="eastAsia" w:ascii="宋体" w:hAnsi="宋体"/>
          <w:sz w:val="24"/>
        </w:rPr>
        <w:t>，拥有专业实验室88个，校外实习实训基地21个，校外实践教学基地2个，其中与福建省石狮市政府、南昌市青山湖区政府、共青城市政府建立校政合作关系，与利郎（中国）有限公司、江苏波斯登股份有限公司、苏州阿仕顿服饰有限公司、浙江温州市乔顿服装服饰有限公司、东蒙集团有限公司、石狮威尔斯顿（福建）服饰发展有限公司、欧宝远东服饰(深圳)有限公司等企业建立了稳定的校企合作关系。现有中国纺织工业联合会授予的中国纺织服装人才培养基地13家。</w:t>
      </w:r>
    </w:p>
    <w:p>
      <w:pPr>
        <w:spacing w:line="400" w:lineRule="exact"/>
        <w:ind w:firstLine="480" w:firstLineChars="200"/>
        <w:jc w:val="both"/>
        <w:rPr>
          <w:rFonts w:ascii="宋体" w:hAnsi="宋体"/>
          <w:sz w:val="24"/>
        </w:rPr>
      </w:pPr>
      <w:r>
        <w:rPr>
          <w:rFonts w:hint="eastAsia" w:ascii="宋体" w:hAnsi="宋体"/>
          <w:sz w:val="24"/>
        </w:rPr>
        <w:t>2015、2016年，连续两年在中国时装设计新人奖获十佳设计师第一名；同时在全国高校毕业生服装设计大赛、</w:t>
      </w:r>
      <w:r>
        <w:rPr>
          <w:rFonts w:ascii="宋体" w:hAnsi="宋体"/>
          <w:sz w:val="24"/>
        </w:rPr>
        <w:t>“中华杯”国际服装设计大赛</w:t>
      </w:r>
      <w:r>
        <w:rPr>
          <w:rFonts w:hint="eastAsia" w:ascii="宋体" w:hAnsi="宋体"/>
          <w:sz w:val="24"/>
        </w:rPr>
        <w:t>、全国皮革服装制版大赛、“</w:t>
      </w:r>
      <w:r>
        <w:rPr>
          <w:rFonts w:ascii="宋体" w:hAnsi="宋体"/>
          <w:sz w:val="24"/>
        </w:rPr>
        <w:t>TOM DONG杯</w:t>
      </w:r>
      <w:r>
        <w:rPr>
          <w:rFonts w:hint="eastAsia" w:ascii="宋体" w:hAnsi="宋体"/>
          <w:sz w:val="24"/>
        </w:rPr>
        <w:t>”</w:t>
      </w:r>
      <w:r>
        <w:rPr>
          <w:rFonts w:ascii="宋体" w:hAnsi="宋体"/>
          <w:sz w:val="24"/>
        </w:rPr>
        <w:t>中国服装设计大赛</w:t>
      </w:r>
      <w:r>
        <w:rPr>
          <w:rFonts w:hint="eastAsia" w:ascii="宋体" w:hAnsi="宋体"/>
          <w:sz w:val="24"/>
        </w:rPr>
        <w:t>、上海国际数码印花创意服装设计大赛、中国·国际经编休闲装设计大赛、中国旅游服装服饰设计大赛、</w:t>
      </w:r>
      <w:r>
        <w:rPr>
          <w:rFonts w:ascii="宋体" w:hAnsi="宋体"/>
          <w:sz w:val="24"/>
        </w:rPr>
        <w:t>龙腾精英模特大赛</w:t>
      </w:r>
      <w:r>
        <w:rPr>
          <w:rFonts w:hint="eastAsia" w:ascii="宋体" w:hAnsi="宋体"/>
          <w:sz w:val="24"/>
        </w:rPr>
        <w:t>、</w:t>
      </w:r>
      <w:r>
        <w:rPr>
          <w:rFonts w:ascii="宋体" w:hAnsi="宋体"/>
          <w:sz w:val="24"/>
        </w:rPr>
        <w:t>江西省首届“青山湖杯”服装创意设计大赛</w:t>
      </w:r>
      <w:r>
        <w:rPr>
          <w:rFonts w:hint="eastAsia" w:ascii="宋体" w:hAnsi="宋体"/>
          <w:sz w:val="24"/>
        </w:rPr>
        <w:t>等赛事中屡获金、银、铜奖。学院已连续举办了二十届“润华奖”服装设计和模特大赛，流光溢彩的T型台成为学有所成的江服学子展示才华、成就梦想的重要舞台。</w:t>
      </w:r>
    </w:p>
    <w:p>
      <w:pPr>
        <w:spacing w:line="400" w:lineRule="exact"/>
        <w:ind w:firstLine="480" w:firstLineChars="200"/>
        <w:jc w:val="both"/>
        <w:rPr>
          <w:rFonts w:ascii="宋体" w:hAnsi="宋体"/>
          <w:sz w:val="24"/>
        </w:rPr>
      </w:pPr>
      <w:r>
        <w:rPr>
          <w:rFonts w:hint="eastAsia" w:ascii="宋体" w:hAnsi="宋体"/>
          <w:sz w:val="24"/>
        </w:rPr>
        <w:t>学院毕业生年年供不应求，“高层次、高薪酬、高体面”就业是我院毕业生就业工作的一道亮丽的风景线。众多品牌企业为了在我院聘到更多的优秀人才，纷纷来院设置奖学金、开设订单班。建校以来， 6万余名江服毕业生自强创业，踊现出一大批像中国“十佳”服装设计师刘江宏、万明亮、刘小飞、陈坤、魏新坤等知名校友，被国内服装界誉为“江服现象”。《人民日报》、《半月谈》、《中国教育报》、新华网、《江西日报》等众多权威媒体对江服毕业生的就业情况做了专题报道。</w:t>
      </w:r>
    </w:p>
    <w:p>
      <w:pPr>
        <w:spacing w:line="400" w:lineRule="exact"/>
        <w:ind w:firstLine="480" w:firstLineChars="200"/>
        <w:jc w:val="both"/>
        <w:rPr>
          <w:rFonts w:ascii="宋体" w:hAnsi="宋体"/>
          <w:sz w:val="24"/>
        </w:rPr>
      </w:pPr>
      <w:r>
        <w:rPr>
          <w:rFonts w:hint="eastAsia" w:ascii="宋体" w:hAnsi="宋体"/>
          <w:sz w:val="24"/>
        </w:rPr>
        <w:t>学校荣获2011年中国纺织服装校企合作示范院校二十强、2011年起连续4年全省高校平安校园创建和社会治安目标管理先进单位、2011年起连续荣获江西省就业先进单位、2015年荣获全省高校平安校园示范学校、2016年荣获2013-2015年度全省普通高校毕业生就业工作评估“优秀”、</w:t>
      </w:r>
      <w:r>
        <w:rPr>
          <w:rFonts w:ascii="宋体" w:hAnsi="宋体"/>
          <w:sz w:val="24"/>
        </w:rPr>
        <w:t>荣获2011—2015年全省法制宣传教育先进集体</w:t>
      </w:r>
      <w:r>
        <w:rPr>
          <w:rFonts w:hint="eastAsia" w:ascii="宋体" w:hAnsi="宋体"/>
          <w:sz w:val="24"/>
        </w:rPr>
        <w:t>等表彰。2014年荣获中国国际大学生时装周人才培养成果奖等荣誉称号，2015和2016年连续两年荣获中国国际大学生时装周中国时装设计育人奖，并获尚坤源·人才培养成果奖。2016年荣</w:t>
      </w:r>
      <w:r>
        <w:rPr>
          <w:rFonts w:ascii="宋体" w:hAnsi="宋体"/>
          <w:sz w:val="24"/>
        </w:rPr>
        <w:t>获中国纺织行业人才建设示范院校</w:t>
      </w:r>
      <w:r>
        <w:rPr>
          <w:rFonts w:hint="eastAsia" w:ascii="宋体" w:hAnsi="宋体"/>
          <w:sz w:val="24"/>
        </w:rPr>
        <w:t>等荣誉称号。</w:t>
      </w:r>
    </w:p>
    <w:p>
      <w:pPr>
        <w:pStyle w:val="3"/>
        <w:spacing w:line="240" w:lineRule="auto"/>
        <w:ind w:left="0" w:firstLine="0" w:firstLineChars="0"/>
        <w:rPr>
          <w:rFonts w:ascii="黑体" w:hAnsi="黑体" w:cs="宋体"/>
          <w:b w:val="0"/>
          <w:bCs w:val="0"/>
          <w:snapToGrid/>
        </w:rPr>
      </w:pPr>
      <w:bookmarkStart w:id="16" w:name="_Toc469900293"/>
      <w:bookmarkStart w:id="17" w:name="_Toc465499573"/>
      <w:bookmarkStart w:id="18" w:name="_Toc465671298"/>
      <w:bookmarkStart w:id="19" w:name="_Toc1213"/>
      <w:bookmarkStart w:id="20" w:name="_Toc22995"/>
      <w:bookmarkStart w:id="21" w:name="_Toc469036822"/>
      <w:bookmarkStart w:id="22" w:name="_Toc465433467"/>
      <w:bookmarkStart w:id="23" w:name="_Toc465498441"/>
      <w:bookmarkStart w:id="24" w:name="_Toc378000162"/>
      <w:bookmarkStart w:id="25" w:name="_Toc465417245"/>
      <w:r>
        <w:rPr>
          <w:rFonts w:hint="eastAsia" w:ascii="黑体" w:hAnsi="黑体" w:cs="宋体"/>
          <w:b w:val="0"/>
          <w:bCs w:val="0"/>
          <w:snapToGrid/>
        </w:rPr>
        <w:t>（二）办学定位</w:t>
      </w:r>
      <w:bookmarkEnd w:id="16"/>
      <w:bookmarkEnd w:id="17"/>
      <w:bookmarkEnd w:id="18"/>
      <w:bookmarkEnd w:id="19"/>
      <w:bookmarkEnd w:id="20"/>
      <w:bookmarkEnd w:id="21"/>
      <w:bookmarkEnd w:id="22"/>
      <w:bookmarkEnd w:id="23"/>
      <w:bookmarkEnd w:id="24"/>
      <w:bookmarkEnd w:id="25"/>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办学类型定位：有特色高水平应用技术型本科院校。</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办学层次定位：以本科教育为主体，兼顾专科层次高等职业技术教育，适时开展专业硕士研究生教育。</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学科专业定位：以纺织服装学科专业群为主体，以艺术传媒和经贸管理学科专业群为两翼，学科专业链相互衔接，重点突出、特色鲜明的应用型学科专业体系。</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培养目标定位：培养德、智、体、美全面发展，具备较强技术技能和专业知识，具有一定创新创业意识的高素质应用技术型高级专门人才。</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服务面向定位：立足江西地域经济建设，重点面向国家服装产业，努力贡献国家服装产业发展和科技进步。</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发展目标定位：秉承特色办学方向，坚守应用技术定位，实施错位发展战略，追求业界名校目标。</w:t>
      </w:r>
      <w:bookmarkStart w:id="26" w:name="_Toc378000163"/>
      <w:bookmarkStart w:id="27" w:name="_Toc26322"/>
    </w:p>
    <w:p>
      <w:pPr>
        <w:pStyle w:val="3"/>
        <w:spacing w:line="240" w:lineRule="auto"/>
        <w:ind w:left="0" w:firstLine="0" w:firstLineChars="0"/>
        <w:rPr>
          <w:rFonts w:ascii="黑体" w:hAnsi="黑体" w:cs="宋体"/>
          <w:b w:val="0"/>
          <w:bCs w:val="0"/>
          <w:snapToGrid/>
        </w:rPr>
      </w:pPr>
      <w:bookmarkStart w:id="28" w:name="_Toc465417246"/>
      <w:bookmarkStart w:id="29" w:name="_Toc465498442"/>
      <w:bookmarkStart w:id="30" w:name="_Toc465433468"/>
      <w:bookmarkStart w:id="31" w:name="_Toc469036823"/>
      <w:bookmarkStart w:id="32" w:name="_Toc12719"/>
      <w:bookmarkStart w:id="33" w:name="_Toc469900294"/>
      <w:bookmarkStart w:id="34" w:name="_Toc465671299"/>
      <w:bookmarkStart w:id="35" w:name="_Toc465499574"/>
      <w:r>
        <w:rPr>
          <w:rFonts w:hint="eastAsia" w:ascii="黑体" w:hAnsi="黑体" w:cs="宋体"/>
          <w:b w:val="0"/>
          <w:bCs w:val="0"/>
          <w:snapToGrid/>
        </w:rPr>
        <w:t>（三）办学思路</w:t>
      </w:r>
      <w:bookmarkEnd w:id="26"/>
      <w:bookmarkEnd w:id="27"/>
      <w:bookmarkEnd w:id="28"/>
      <w:bookmarkEnd w:id="29"/>
      <w:bookmarkEnd w:id="30"/>
      <w:bookmarkEnd w:id="31"/>
      <w:bookmarkEnd w:id="32"/>
      <w:bookmarkEnd w:id="33"/>
      <w:bookmarkEnd w:id="34"/>
      <w:bookmarkEnd w:id="35"/>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坚持社会主义办学方向，立足服务江西地方经济，面向国家服装产业发展，秉承“勤信博雅”校训，坚持立德树人宗旨，坚持“产教融合、校企合作”，以专业建设为龙头，以学科建设为依托，以“双师”教师队伍建设为核心，培养具有艺术工学特色的“四创型”（创意、创造、创新、创业）高素质应用技术型人才。</w:t>
      </w:r>
    </w:p>
    <w:p>
      <w:pPr>
        <w:pStyle w:val="3"/>
        <w:spacing w:line="240" w:lineRule="auto"/>
        <w:ind w:left="0" w:firstLine="0" w:firstLineChars="0"/>
        <w:rPr>
          <w:rFonts w:ascii="黑体" w:hAnsi="黑体" w:cs="宋体"/>
          <w:b w:val="0"/>
          <w:bCs w:val="0"/>
          <w:snapToGrid/>
        </w:rPr>
      </w:pPr>
      <w:bookmarkStart w:id="36" w:name="_Toc469900295"/>
      <w:r>
        <w:rPr>
          <w:rFonts w:hint="eastAsia" w:ascii="黑体" w:hAnsi="黑体" w:cs="宋体"/>
          <w:b w:val="0"/>
          <w:bCs w:val="0"/>
          <w:snapToGrid/>
        </w:rPr>
        <w:t>（四）校训</w:t>
      </w:r>
      <w:bookmarkEnd w:id="36"/>
    </w:p>
    <w:p>
      <w:pPr>
        <w:spacing w:line="400" w:lineRule="exact"/>
        <w:ind w:firstLine="480" w:firstLineChars="200"/>
        <w:jc w:val="both"/>
        <w:rPr>
          <w:rFonts w:hint="eastAsia" w:asciiTheme="minorEastAsia" w:hAnsiTheme="minorEastAsia" w:cstheme="minorEastAsia"/>
          <w:sz w:val="24"/>
          <w:szCs w:val="24"/>
        </w:rPr>
      </w:pPr>
      <w:r>
        <w:rPr>
          <w:rFonts w:hint="eastAsia" w:asciiTheme="minorEastAsia" w:hAnsiTheme="minorEastAsia" w:cstheme="minorEastAsia"/>
          <w:sz w:val="24"/>
          <w:szCs w:val="24"/>
        </w:rPr>
        <w:t>校训：勤信博雅</w:t>
      </w:r>
    </w:p>
    <w:p>
      <w:pPr>
        <w:pStyle w:val="2"/>
        <w:spacing w:before="0" w:after="0" w:line="240" w:lineRule="auto"/>
        <w:rPr>
          <w:rFonts w:ascii="黑体" w:hAnsi="黑体" w:eastAsia="黑体" w:cs="宋体"/>
          <w:b w:val="0"/>
          <w:bCs w:val="0"/>
          <w:snapToGrid w:val="0"/>
          <w:sz w:val="30"/>
          <w:szCs w:val="30"/>
        </w:rPr>
      </w:pPr>
      <w:bookmarkStart w:id="37" w:name="_Toc465498443"/>
      <w:bookmarkStart w:id="38" w:name="_Toc8962"/>
      <w:bookmarkStart w:id="39" w:name="_Toc469900296"/>
      <w:bookmarkStart w:id="40" w:name="_Toc465433469"/>
      <w:bookmarkStart w:id="41" w:name="_Toc465671300"/>
      <w:bookmarkStart w:id="42" w:name="_Toc465499575"/>
      <w:bookmarkStart w:id="43" w:name="_Toc469036824"/>
      <w:r>
        <w:rPr>
          <w:rFonts w:hint="eastAsia" w:ascii="黑体" w:hAnsi="黑体" w:eastAsia="黑体" w:cs="宋体"/>
          <w:b w:val="0"/>
          <w:bCs w:val="0"/>
          <w:snapToGrid w:val="0"/>
          <w:sz w:val="30"/>
          <w:szCs w:val="30"/>
        </w:rPr>
        <w:t>二.本科教育基本情况</w:t>
      </w:r>
      <w:bookmarkEnd w:id="37"/>
      <w:bookmarkEnd w:id="38"/>
      <w:bookmarkEnd w:id="39"/>
      <w:bookmarkEnd w:id="40"/>
      <w:bookmarkEnd w:id="41"/>
      <w:bookmarkEnd w:id="42"/>
      <w:bookmarkEnd w:id="43"/>
    </w:p>
    <w:p>
      <w:pPr>
        <w:pStyle w:val="3"/>
        <w:spacing w:line="240" w:lineRule="auto"/>
        <w:ind w:left="0" w:firstLine="0" w:firstLineChars="0"/>
        <w:rPr>
          <w:rFonts w:ascii="黑体" w:hAnsi="黑体" w:cs="宋体"/>
          <w:b w:val="0"/>
          <w:bCs w:val="0"/>
          <w:snapToGrid/>
        </w:rPr>
      </w:pPr>
      <w:bookmarkStart w:id="44" w:name="_Toc465671301"/>
      <w:bookmarkStart w:id="45" w:name="_Toc29829"/>
      <w:bookmarkStart w:id="46" w:name="_Toc465433470"/>
      <w:bookmarkStart w:id="47" w:name="_Toc465499576"/>
      <w:bookmarkStart w:id="48" w:name="_Toc469036825"/>
      <w:bookmarkStart w:id="49" w:name="_Toc469900297"/>
      <w:bookmarkStart w:id="50" w:name="_Toc465498444"/>
      <w:r>
        <w:rPr>
          <w:rFonts w:hint="eastAsia" w:ascii="黑体" w:hAnsi="黑体" w:cs="宋体"/>
          <w:b w:val="0"/>
          <w:bCs w:val="0"/>
          <w:snapToGrid/>
        </w:rPr>
        <w:t>（一）本科人才培养目标及服务面向</w:t>
      </w:r>
      <w:bookmarkEnd w:id="44"/>
      <w:bookmarkEnd w:id="45"/>
      <w:bookmarkEnd w:id="46"/>
      <w:bookmarkEnd w:id="47"/>
      <w:bookmarkEnd w:id="48"/>
      <w:bookmarkEnd w:id="49"/>
      <w:bookmarkEnd w:id="50"/>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本科人才培养目标:着力培养面向服装行业的设计创意、工程技术、生产管理、商贸服务等一线岗位，全面发展、人格健全，具有较强实践能力、较强适应能力、较强创新精神的高素质应用型人才。</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服务面向：立足江西地域经济建设，重点面向国家服装产业，努力贡献国家服装产业发展和科技进步。</w:t>
      </w:r>
    </w:p>
    <w:p>
      <w:pPr>
        <w:pStyle w:val="3"/>
        <w:spacing w:line="240" w:lineRule="auto"/>
        <w:ind w:left="0" w:firstLine="0" w:firstLineChars="0"/>
        <w:rPr>
          <w:rFonts w:ascii="黑体" w:hAnsi="黑体" w:cs="宋体"/>
          <w:b w:val="0"/>
          <w:bCs w:val="0"/>
          <w:snapToGrid/>
        </w:rPr>
      </w:pPr>
      <w:bookmarkStart w:id="51" w:name="_Toc465499577"/>
      <w:bookmarkStart w:id="52" w:name="_Toc465498445"/>
      <w:bookmarkStart w:id="53" w:name="_Toc9719"/>
      <w:bookmarkStart w:id="54" w:name="_Toc469036826"/>
      <w:bookmarkStart w:id="55" w:name="_Toc465433471"/>
      <w:bookmarkStart w:id="56" w:name="_Toc465417247"/>
      <w:bookmarkStart w:id="57" w:name="_Toc7927"/>
      <w:bookmarkStart w:id="58" w:name="_Toc465671302"/>
      <w:bookmarkStart w:id="59" w:name="_Toc469900298"/>
      <w:r>
        <w:rPr>
          <w:rFonts w:ascii="黑体" w:hAnsi="黑体" w:cs="宋体"/>
          <w:b w:val="0"/>
          <w:bCs w:val="0"/>
          <w:snapToGrid/>
        </w:rPr>
        <w:t>（</w:t>
      </w:r>
      <w:r>
        <w:rPr>
          <w:rFonts w:hint="eastAsia" w:ascii="黑体" w:hAnsi="黑体" w:cs="宋体"/>
          <w:b w:val="0"/>
          <w:bCs w:val="0"/>
          <w:snapToGrid/>
        </w:rPr>
        <w:t>二</w:t>
      </w:r>
      <w:r>
        <w:rPr>
          <w:rFonts w:ascii="黑体" w:hAnsi="黑体" w:cs="宋体"/>
          <w:b w:val="0"/>
          <w:bCs w:val="0"/>
          <w:snapToGrid/>
        </w:rPr>
        <w:t>）本科专业设置情况</w:t>
      </w:r>
      <w:bookmarkEnd w:id="51"/>
      <w:bookmarkEnd w:id="52"/>
      <w:bookmarkEnd w:id="53"/>
      <w:bookmarkEnd w:id="54"/>
      <w:bookmarkEnd w:id="55"/>
      <w:bookmarkEnd w:id="56"/>
      <w:bookmarkEnd w:id="57"/>
      <w:bookmarkEnd w:id="58"/>
      <w:bookmarkEnd w:id="59"/>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目前，学校开设了 19 个本科专业，</w:t>
      </w:r>
      <w:r>
        <w:rPr>
          <w:rFonts w:asciiTheme="minorEastAsia" w:hAnsiTheme="minorEastAsia" w:cstheme="minorEastAsia"/>
          <w:sz w:val="24"/>
          <w:szCs w:val="24"/>
        </w:rPr>
        <w:t>涵盖经济学、文学、工学、管理学、艺术学</w:t>
      </w:r>
      <w:r>
        <w:rPr>
          <w:rFonts w:hint="eastAsia" w:asciiTheme="minorEastAsia" w:hAnsiTheme="minorEastAsia" w:cstheme="minorEastAsia"/>
          <w:sz w:val="24"/>
          <w:szCs w:val="24"/>
        </w:rPr>
        <w:t>等5</w:t>
      </w:r>
      <w:r>
        <w:rPr>
          <w:rFonts w:asciiTheme="minorEastAsia" w:hAnsiTheme="minorEastAsia" w:cstheme="minorEastAsia"/>
          <w:sz w:val="24"/>
          <w:szCs w:val="24"/>
        </w:rPr>
        <w:t>个学科门类</w:t>
      </w:r>
      <w:r>
        <w:rPr>
          <w:rFonts w:hint="eastAsia" w:asciiTheme="minorEastAsia" w:hAnsiTheme="minorEastAsia" w:cstheme="minorEastAsia"/>
          <w:sz w:val="24"/>
          <w:szCs w:val="24"/>
        </w:rPr>
        <w:t>（如表 2-1江西服装学院本科专业设置一览表所示）。</w:t>
      </w:r>
    </w:p>
    <w:p>
      <w:pPr>
        <w:jc w:val="center"/>
        <w:rPr>
          <w:rFonts w:ascii="宋体" w:hAnsi="宋体" w:cs="宋体"/>
          <w:szCs w:val="21"/>
        </w:rPr>
      </w:pPr>
      <w:r>
        <w:rPr>
          <w:rFonts w:ascii="宋体" w:hAnsi="宋体" w:cs="宋体"/>
          <w:szCs w:val="21"/>
        </w:rPr>
        <w:t>表</w:t>
      </w:r>
      <w:r>
        <w:rPr>
          <w:rFonts w:hint="eastAsia" w:ascii="宋体" w:hAnsi="宋体" w:cs="宋体"/>
          <w:szCs w:val="21"/>
        </w:rPr>
        <w:t>2-</w:t>
      </w:r>
      <w:r>
        <w:rPr>
          <w:rFonts w:ascii="宋体" w:hAnsi="宋体" w:cs="宋体"/>
          <w:szCs w:val="21"/>
        </w:rPr>
        <w:t>1</w:t>
      </w:r>
      <w:r>
        <w:rPr>
          <w:rFonts w:hint="eastAsia" w:ascii="宋体" w:hAnsi="宋体" w:cs="宋体"/>
          <w:szCs w:val="21"/>
        </w:rPr>
        <w:t xml:space="preserve"> 江西服装学院</w:t>
      </w:r>
      <w:r>
        <w:rPr>
          <w:rFonts w:ascii="宋体" w:hAnsi="宋体" w:cs="宋体"/>
          <w:szCs w:val="21"/>
        </w:rPr>
        <w:t>本科专业设置一览表</w:t>
      </w:r>
    </w:p>
    <w:tbl>
      <w:tblPr>
        <w:tblStyle w:val="14"/>
        <w:tblW w:w="80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739"/>
        <w:gridCol w:w="567"/>
        <w:gridCol w:w="3257"/>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exact"/>
          <w:tblHeader/>
          <w:jc w:val="center"/>
        </w:trPr>
        <w:tc>
          <w:tcPr>
            <w:tcW w:w="936" w:type="dxa"/>
            <w:vAlign w:val="center"/>
          </w:tcPr>
          <w:p>
            <w:pPr>
              <w:jc w:val="center"/>
              <w:rPr>
                <w:rFonts w:cs="宋体" w:asciiTheme="minorEastAsia" w:hAnsiTheme="minorEastAsia"/>
                <w:b/>
                <w:bCs/>
                <w:szCs w:val="21"/>
              </w:rPr>
            </w:pPr>
            <w:r>
              <w:rPr>
                <w:rFonts w:cs="宋体" w:asciiTheme="minorEastAsia" w:hAnsiTheme="minorEastAsia"/>
                <w:b/>
                <w:bCs/>
                <w:szCs w:val="21"/>
              </w:rPr>
              <w:t>学科</w:t>
            </w:r>
          </w:p>
          <w:p>
            <w:pPr>
              <w:jc w:val="center"/>
              <w:rPr>
                <w:rFonts w:cs="宋体" w:asciiTheme="minorEastAsia" w:hAnsiTheme="minorEastAsia"/>
                <w:b/>
                <w:bCs/>
                <w:szCs w:val="21"/>
              </w:rPr>
            </w:pPr>
            <w:r>
              <w:rPr>
                <w:rFonts w:cs="宋体" w:asciiTheme="minorEastAsia" w:hAnsiTheme="minorEastAsia"/>
                <w:b/>
                <w:bCs/>
                <w:szCs w:val="21"/>
              </w:rPr>
              <w:t>门类</w:t>
            </w:r>
          </w:p>
        </w:tc>
        <w:tc>
          <w:tcPr>
            <w:tcW w:w="1739" w:type="dxa"/>
            <w:vAlign w:val="center"/>
          </w:tcPr>
          <w:p>
            <w:pPr>
              <w:jc w:val="center"/>
              <w:rPr>
                <w:rFonts w:cs="宋体" w:asciiTheme="minorEastAsia" w:hAnsiTheme="minorEastAsia"/>
                <w:b/>
                <w:bCs/>
                <w:szCs w:val="21"/>
              </w:rPr>
            </w:pPr>
            <w:r>
              <w:rPr>
                <w:rFonts w:cs="宋体" w:asciiTheme="minorEastAsia" w:hAnsiTheme="minorEastAsia"/>
                <w:b/>
                <w:bCs/>
                <w:szCs w:val="21"/>
              </w:rPr>
              <w:t>二级类</w:t>
            </w:r>
          </w:p>
        </w:tc>
        <w:tc>
          <w:tcPr>
            <w:tcW w:w="3824" w:type="dxa"/>
            <w:gridSpan w:val="2"/>
            <w:vAlign w:val="center"/>
          </w:tcPr>
          <w:p>
            <w:pPr>
              <w:jc w:val="center"/>
              <w:rPr>
                <w:rFonts w:cs="宋体" w:asciiTheme="minorEastAsia" w:hAnsiTheme="minorEastAsia"/>
                <w:b/>
                <w:bCs/>
                <w:szCs w:val="21"/>
              </w:rPr>
            </w:pPr>
            <w:r>
              <w:rPr>
                <w:rFonts w:cs="宋体" w:asciiTheme="minorEastAsia" w:hAnsiTheme="minorEastAsia"/>
                <w:b/>
                <w:bCs/>
                <w:szCs w:val="21"/>
              </w:rPr>
              <w:t>专业</w:t>
            </w:r>
          </w:p>
        </w:tc>
        <w:tc>
          <w:tcPr>
            <w:tcW w:w="1559" w:type="dxa"/>
            <w:vAlign w:val="center"/>
          </w:tcPr>
          <w:p>
            <w:pPr>
              <w:jc w:val="center"/>
              <w:rPr>
                <w:rFonts w:cs="宋体" w:asciiTheme="minorEastAsia" w:hAnsiTheme="minorEastAsia"/>
                <w:b/>
                <w:bCs/>
                <w:szCs w:val="21"/>
              </w:rPr>
            </w:pPr>
            <w:r>
              <w:rPr>
                <w:rFonts w:cs="宋体" w:asciiTheme="minorEastAsia" w:hAnsiTheme="minorEastAsia"/>
                <w:b/>
                <w:bCs/>
                <w:szCs w:val="21"/>
              </w:rPr>
              <w:t>批准设立时间（年）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Align w:val="center"/>
          </w:tcPr>
          <w:p>
            <w:pPr>
              <w:spacing w:line="360" w:lineRule="auto"/>
              <w:rPr>
                <w:rFonts w:cs="宋体" w:asciiTheme="minorEastAsia" w:hAnsiTheme="minorEastAsia"/>
                <w:b/>
                <w:szCs w:val="21"/>
              </w:rPr>
            </w:pPr>
            <w:r>
              <w:rPr>
                <w:rFonts w:cs="宋体" w:asciiTheme="minorEastAsia" w:hAnsiTheme="minorEastAsia"/>
                <w:b/>
                <w:szCs w:val="21"/>
              </w:rPr>
              <w:t>经济学</w:t>
            </w:r>
          </w:p>
        </w:tc>
        <w:tc>
          <w:tcPr>
            <w:tcW w:w="1739" w:type="dxa"/>
            <w:vAlign w:val="center"/>
          </w:tcPr>
          <w:p>
            <w:pPr>
              <w:spacing w:line="360" w:lineRule="auto"/>
              <w:rPr>
                <w:rFonts w:cs="宋体" w:asciiTheme="minorEastAsia" w:hAnsiTheme="minorEastAsia"/>
                <w:b/>
                <w:szCs w:val="21"/>
              </w:rPr>
            </w:pPr>
            <w:r>
              <w:rPr>
                <w:rFonts w:cs="宋体" w:asciiTheme="minorEastAsia" w:hAnsiTheme="minorEastAsia"/>
                <w:b/>
                <w:szCs w:val="21"/>
              </w:rPr>
              <w:t>经济学类</w:t>
            </w:r>
          </w:p>
        </w:tc>
        <w:tc>
          <w:tcPr>
            <w:tcW w:w="567" w:type="dxa"/>
            <w:vAlign w:val="center"/>
          </w:tcPr>
          <w:p>
            <w:pPr>
              <w:spacing w:line="360" w:lineRule="auto"/>
              <w:jc w:val="center"/>
              <w:rPr>
                <w:rFonts w:cs="宋体" w:asciiTheme="minorEastAsia" w:hAnsiTheme="minorEastAsia"/>
                <w:szCs w:val="21"/>
              </w:rPr>
            </w:pPr>
            <w:r>
              <w:rPr>
                <w:rFonts w:cs="宋体" w:asciiTheme="minorEastAsia" w:hAnsiTheme="minorEastAsia"/>
                <w:szCs w:val="21"/>
              </w:rPr>
              <w:t>1</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（020401）国际经济与贸易</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Align w:val="center"/>
          </w:tcPr>
          <w:p>
            <w:pPr>
              <w:spacing w:line="360" w:lineRule="auto"/>
              <w:rPr>
                <w:rFonts w:cs="宋体" w:asciiTheme="minorEastAsia" w:hAnsiTheme="minorEastAsia"/>
                <w:b/>
                <w:szCs w:val="21"/>
              </w:rPr>
            </w:pPr>
            <w:r>
              <w:rPr>
                <w:rFonts w:cs="宋体" w:asciiTheme="minorEastAsia" w:hAnsiTheme="minorEastAsia"/>
                <w:b/>
                <w:szCs w:val="21"/>
              </w:rPr>
              <w:t>文学</w:t>
            </w:r>
          </w:p>
        </w:tc>
        <w:tc>
          <w:tcPr>
            <w:tcW w:w="1739" w:type="dxa"/>
            <w:vAlign w:val="center"/>
          </w:tcPr>
          <w:p>
            <w:pPr>
              <w:spacing w:line="360" w:lineRule="auto"/>
              <w:rPr>
                <w:rFonts w:cs="宋体" w:asciiTheme="minorEastAsia" w:hAnsiTheme="minorEastAsia"/>
                <w:b/>
                <w:szCs w:val="21"/>
              </w:rPr>
            </w:pPr>
            <w:r>
              <w:rPr>
                <w:rFonts w:cs="宋体" w:asciiTheme="minorEastAsia" w:hAnsiTheme="minorEastAsia"/>
                <w:b/>
                <w:szCs w:val="21"/>
              </w:rPr>
              <w:t>新闻传播学类</w:t>
            </w: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（050303）广告学</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restart"/>
            <w:vAlign w:val="center"/>
          </w:tcPr>
          <w:p>
            <w:pPr>
              <w:spacing w:line="360" w:lineRule="auto"/>
              <w:rPr>
                <w:rFonts w:cs="宋体" w:asciiTheme="minorEastAsia" w:hAnsiTheme="minorEastAsia"/>
                <w:b/>
                <w:szCs w:val="21"/>
              </w:rPr>
            </w:pPr>
            <w:r>
              <w:rPr>
                <w:rFonts w:cs="宋体" w:asciiTheme="minorEastAsia" w:hAnsiTheme="minorEastAsia"/>
                <w:b/>
                <w:szCs w:val="21"/>
              </w:rPr>
              <w:t>工学</w:t>
            </w:r>
          </w:p>
        </w:tc>
        <w:tc>
          <w:tcPr>
            <w:tcW w:w="1739" w:type="dxa"/>
            <w:vAlign w:val="center"/>
          </w:tcPr>
          <w:p>
            <w:pPr>
              <w:spacing w:line="360" w:lineRule="auto"/>
              <w:rPr>
                <w:rFonts w:cs="宋体" w:asciiTheme="minorEastAsia" w:hAnsiTheme="minorEastAsia"/>
                <w:b/>
                <w:szCs w:val="21"/>
              </w:rPr>
            </w:pPr>
            <w:r>
              <w:rPr>
                <w:rFonts w:hint="eastAsia" w:cs="宋体" w:asciiTheme="minorEastAsia" w:hAnsiTheme="minorEastAsia"/>
                <w:b/>
                <w:szCs w:val="21"/>
              </w:rPr>
              <w:t>计算机类</w:t>
            </w: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3</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w:t>
            </w:r>
            <w:r>
              <w:rPr>
                <w:rFonts w:hint="eastAsia" w:cs="宋体" w:asciiTheme="minorEastAsia" w:hAnsiTheme="minorEastAsia"/>
                <w:szCs w:val="21"/>
              </w:rPr>
              <w:t>080902</w:t>
            </w:r>
            <w:r>
              <w:rPr>
                <w:rFonts w:cs="宋体" w:asciiTheme="minorEastAsia" w:hAnsiTheme="minorEastAsia"/>
                <w:szCs w:val="21"/>
              </w:rPr>
              <w:t>）</w:t>
            </w:r>
            <w:r>
              <w:rPr>
                <w:rFonts w:hint="eastAsia" w:cs="宋体" w:asciiTheme="minorEastAsia" w:hAnsiTheme="minorEastAsia"/>
                <w:szCs w:val="21"/>
              </w:rPr>
              <w:t>软件工程</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vAlign w:val="center"/>
          </w:tcPr>
          <w:p>
            <w:pPr>
              <w:spacing w:line="360" w:lineRule="auto"/>
              <w:rPr>
                <w:rFonts w:cs="宋体" w:asciiTheme="minorEastAsia" w:hAnsiTheme="minorEastAsia"/>
                <w:b/>
                <w:szCs w:val="21"/>
              </w:rPr>
            </w:pPr>
          </w:p>
        </w:tc>
        <w:tc>
          <w:tcPr>
            <w:tcW w:w="1739" w:type="dxa"/>
            <w:vMerge w:val="restart"/>
            <w:vAlign w:val="center"/>
          </w:tcPr>
          <w:p>
            <w:pPr>
              <w:spacing w:line="360" w:lineRule="auto"/>
              <w:rPr>
                <w:rFonts w:cs="宋体" w:asciiTheme="minorEastAsia" w:hAnsiTheme="minorEastAsia"/>
                <w:b/>
                <w:szCs w:val="21"/>
              </w:rPr>
            </w:pPr>
            <w:r>
              <w:rPr>
                <w:rFonts w:hint="eastAsia" w:cs="宋体" w:asciiTheme="minorEastAsia" w:hAnsiTheme="minorEastAsia"/>
                <w:b/>
                <w:szCs w:val="21"/>
              </w:rPr>
              <w:t>纺织</w:t>
            </w:r>
            <w:r>
              <w:rPr>
                <w:rFonts w:cs="宋体" w:asciiTheme="minorEastAsia" w:hAnsiTheme="minorEastAsia"/>
                <w:b/>
                <w:szCs w:val="21"/>
              </w:rPr>
              <w:t>类</w:t>
            </w: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4</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w:t>
            </w:r>
            <w:r>
              <w:rPr>
                <w:rFonts w:hint="eastAsia" w:cs="宋体" w:asciiTheme="minorEastAsia" w:hAnsiTheme="minorEastAsia"/>
                <w:szCs w:val="21"/>
              </w:rPr>
              <w:t>081601</w:t>
            </w:r>
            <w:r>
              <w:rPr>
                <w:rFonts w:cs="宋体" w:asciiTheme="minorEastAsia" w:hAnsiTheme="minorEastAsia"/>
                <w:szCs w:val="21"/>
              </w:rPr>
              <w:t>）</w:t>
            </w:r>
            <w:r>
              <w:rPr>
                <w:rFonts w:hint="eastAsia" w:cs="宋体" w:asciiTheme="minorEastAsia" w:hAnsiTheme="minorEastAsia"/>
                <w:szCs w:val="21"/>
              </w:rPr>
              <w:t>纺织工程</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vAlign w:val="center"/>
          </w:tcPr>
          <w:p>
            <w:pPr>
              <w:spacing w:line="360" w:lineRule="auto"/>
              <w:rPr>
                <w:rFonts w:cs="宋体" w:asciiTheme="minorEastAsia" w:hAnsiTheme="minorEastAsia"/>
                <w:b/>
                <w:szCs w:val="21"/>
              </w:rPr>
            </w:pPr>
          </w:p>
        </w:tc>
        <w:tc>
          <w:tcPr>
            <w:tcW w:w="1739" w:type="dxa"/>
            <w:vMerge w:val="continue"/>
            <w:vAlign w:val="center"/>
          </w:tcPr>
          <w:p>
            <w:pPr>
              <w:spacing w:line="360" w:lineRule="auto"/>
              <w:rPr>
                <w:rFonts w:cs="宋体" w:asciiTheme="minorEastAsia" w:hAnsiTheme="minorEastAsia"/>
                <w:b/>
                <w:szCs w:val="21"/>
              </w:rPr>
            </w:pP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5</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（08</w:t>
            </w:r>
            <w:r>
              <w:rPr>
                <w:rFonts w:hint="eastAsia" w:cs="宋体" w:asciiTheme="minorEastAsia" w:hAnsiTheme="minorEastAsia"/>
                <w:szCs w:val="21"/>
              </w:rPr>
              <w:t>1602</w:t>
            </w:r>
            <w:r>
              <w:rPr>
                <w:rFonts w:cs="宋体" w:asciiTheme="minorEastAsia" w:hAnsiTheme="minorEastAsia"/>
                <w:szCs w:val="21"/>
              </w:rPr>
              <w:t>）</w:t>
            </w:r>
            <w:r>
              <w:rPr>
                <w:rFonts w:hint="eastAsia" w:cs="宋体" w:asciiTheme="minorEastAsia" w:hAnsiTheme="minorEastAsia"/>
                <w:szCs w:val="21"/>
              </w:rPr>
              <w:t>服装设计与工程</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vAlign w:val="center"/>
          </w:tcPr>
          <w:p>
            <w:pPr>
              <w:spacing w:line="360" w:lineRule="auto"/>
              <w:rPr>
                <w:rFonts w:cs="宋体" w:asciiTheme="minorEastAsia" w:hAnsiTheme="minorEastAsia"/>
                <w:b/>
                <w:szCs w:val="21"/>
              </w:rPr>
            </w:pPr>
          </w:p>
        </w:tc>
        <w:tc>
          <w:tcPr>
            <w:tcW w:w="1739" w:type="dxa"/>
            <w:vMerge w:val="continue"/>
            <w:vAlign w:val="center"/>
          </w:tcPr>
          <w:p>
            <w:pPr>
              <w:spacing w:line="360" w:lineRule="auto"/>
              <w:rPr>
                <w:rFonts w:cs="宋体" w:asciiTheme="minorEastAsia" w:hAnsiTheme="minorEastAsia"/>
                <w:b/>
                <w:szCs w:val="21"/>
              </w:rPr>
            </w:pP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6</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w:t>
            </w:r>
            <w:r>
              <w:rPr>
                <w:rFonts w:hint="eastAsia" w:cs="宋体" w:asciiTheme="minorEastAsia" w:hAnsiTheme="minorEastAsia"/>
                <w:szCs w:val="21"/>
              </w:rPr>
              <w:t>081604T</w:t>
            </w:r>
            <w:r>
              <w:rPr>
                <w:rFonts w:cs="宋体" w:asciiTheme="minorEastAsia" w:hAnsiTheme="minorEastAsia"/>
                <w:szCs w:val="21"/>
              </w:rPr>
              <w:t>）</w:t>
            </w:r>
            <w:r>
              <w:rPr>
                <w:rFonts w:hint="eastAsia" w:cs="宋体" w:asciiTheme="minorEastAsia" w:hAnsiTheme="minorEastAsia"/>
                <w:szCs w:val="21"/>
              </w:rPr>
              <w:t>服装设计与工艺教育</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restart"/>
            <w:vAlign w:val="center"/>
          </w:tcPr>
          <w:p>
            <w:pPr>
              <w:spacing w:line="360" w:lineRule="auto"/>
              <w:rPr>
                <w:rFonts w:cs="宋体" w:asciiTheme="minorEastAsia" w:hAnsiTheme="minorEastAsia"/>
                <w:b/>
                <w:szCs w:val="21"/>
              </w:rPr>
            </w:pPr>
            <w:r>
              <w:rPr>
                <w:rFonts w:cs="宋体" w:asciiTheme="minorEastAsia" w:hAnsiTheme="minorEastAsia"/>
                <w:b/>
                <w:szCs w:val="21"/>
              </w:rPr>
              <w:t>管理学</w:t>
            </w:r>
          </w:p>
        </w:tc>
        <w:tc>
          <w:tcPr>
            <w:tcW w:w="1739" w:type="dxa"/>
            <w:vAlign w:val="center"/>
          </w:tcPr>
          <w:p>
            <w:pPr>
              <w:spacing w:line="360" w:lineRule="auto"/>
              <w:rPr>
                <w:rFonts w:cs="宋体" w:asciiTheme="minorEastAsia" w:hAnsiTheme="minorEastAsia"/>
                <w:b/>
                <w:szCs w:val="21"/>
              </w:rPr>
            </w:pPr>
            <w:r>
              <w:rPr>
                <w:rFonts w:cs="宋体" w:asciiTheme="minorEastAsia" w:hAnsiTheme="minorEastAsia"/>
                <w:b/>
                <w:szCs w:val="21"/>
              </w:rPr>
              <w:t>工商管理类</w:t>
            </w: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7</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（120202）市场营销</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vAlign w:val="center"/>
          </w:tcPr>
          <w:p>
            <w:pPr>
              <w:spacing w:line="360" w:lineRule="auto"/>
              <w:rPr>
                <w:rFonts w:cs="宋体" w:asciiTheme="minorEastAsia" w:hAnsiTheme="minorEastAsia"/>
                <w:b/>
                <w:szCs w:val="21"/>
              </w:rPr>
            </w:pPr>
          </w:p>
        </w:tc>
        <w:tc>
          <w:tcPr>
            <w:tcW w:w="1739" w:type="dxa"/>
            <w:vAlign w:val="center"/>
          </w:tcPr>
          <w:p>
            <w:pPr>
              <w:spacing w:line="360" w:lineRule="auto"/>
              <w:rPr>
                <w:rFonts w:cs="宋体" w:asciiTheme="minorEastAsia" w:hAnsiTheme="minorEastAsia"/>
                <w:b/>
                <w:szCs w:val="21"/>
              </w:rPr>
            </w:pPr>
            <w:r>
              <w:rPr>
                <w:rFonts w:cs="宋体" w:asciiTheme="minorEastAsia" w:hAnsiTheme="minorEastAsia"/>
                <w:b/>
                <w:szCs w:val="21"/>
              </w:rPr>
              <w:t>电子商务类</w:t>
            </w: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8</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（120801）电子商务</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restart"/>
            <w:vAlign w:val="center"/>
          </w:tcPr>
          <w:p>
            <w:pPr>
              <w:spacing w:line="360" w:lineRule="auto"/>
              <w:rPr>
                <w:rFonts w:cs="宋体" w:asciiTheme="minorEastAsia" w:hAnsiTheme="minorEastAsia"/>
                <w:b/>
                <w:szCs w:val="21"/>
              </w:rPr>
            </w:pPr>
            <w:r>
              <w:rPr>
                <w:rFonts w:cs="宋体" w:asciiTheme="minorEastAsia" w:hAnsiTheme="minorEastAsia"/>
                <w:b/>
                <w:szCs w:val="21"/>
              </w:rPr>
              <w:t>艺术学</w:t>
            </w:r>
          </w:p>
        </w:tc>
        <w:tc>
          <w:tcPr>
            <w:tcW w:w="1739" w:type="dxa"/>
            <w:vMerge w:val="restart"/>
            <w:vAlign w:val="center"/>
          </w:tcPr>
          <w:p>
            <w:pPr>
              <w:spacing w:line="360" w:lineRule="auto"/>
              <w:rPr>
                <w:rFonts w:cs="宋体" w:asciiTheme="minorEastAsia" w:hAnsiTheme="minorEastAsia"/>
                <w:b/>
                <w:szCs w:val="21"/>
              </w:rPr>
            </w:pPr>
            <w:r>
              <w:rPr>
                <w:rFonts w:cs="宋体" w:asciiTheme="minorEastAsia" w:hAnsiTheme="minorEastAsia"/>
                <w:b/>
                <w:szCs w:val="21"/>
              </w:rPr>
              <w:t>戏剧与影视学类</w:t>
            </w: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9</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（1303</w:t>
            </w:r>
            <w:r>
              <w:rPr>
                <w:rFonts w:hint="eastAsia" w:cs="宋体" w:asciiTheme="minorEastAsia" w:hAnsiTheme="minorEastAsia"/>
                <w:szCs w:val="21"/>
              </w:rPr>
              <w:t>01</w:t>
            </w:r>
            <w:r>
              <w:rPr>
                <w:rFonts w:cs="宋体" w:asciiTheme="minorEastAsia" w:hAnsiTheme="minorEastAsia"/>
                <w:szCs w:val="21"/>
              </w:rPr>
              <w:t>）</w:t>
            </w:r>
            <w:r>
              <w:rPr>
                <w:rFonts w:hint="eastAsia" w:cs="宋体" w:asciiTheme="minorEastAsia" w:hAnsiTheme="minorEastAsia"/>
                <w:szCs w:val="21"/>
              </w:rPr>
              <w:t>表演</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vAlign w:val="center"/>
          </w:tcPr>
          <w:p>
            <w:pPr>
              <w:spacing w:line="360" w:lineRule="auto"/>
              <w:rPr>
                <w:rFonts w:cs="宋体" w:asciiTheme="minorEastAsia" w:hAnsiTheme="minorEastAsia"/>
                <w:b/>
                <w:szCs w:val="21"/>
              </w:rPr>
            </w:pPr>
          </w:p>
        </w:tc>
        <w:tc>
          <w:tcPr>
            <w:tcW w:w="1739" w:type="dxa"/>
            <w:vMerge w:val="continue"/>
            <w:vAlign w:val="center"/>
          </w:tcPr>
          <w:p>
            <w:pPr>
              <w:spacing w:line="360" w:lineRule="auto"/>
              <w:rPr>
                <w:rFonts w:cs="宋体" w:asciiTheme="minorEastAsia" w:hAnsiTheme="minorEastAsia"/>
                <w:b/>
                <w:szCs w:val="21"/>
              </w:rPr>
            </w:pP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10</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w:t>
            </w:r>
            <w:r>
              <w:rPr>
                <w:rFonts w:hint="eastAsia" w:cs="宋体" w:asciiTheme="minorEastAsia" w:hAnsiTheme="minorEastAsia"/>
                <w:szCs w:val="21"/>
              </w:rPr>
              <w:t>130305</w:t>
            </w:r>
            <w:r>
              <w:rPr>
                <w:rFonts w:cs="宋体" w:asciiTheme="minorEastAsia" w:hAnsiTheme="minorEastAsia"/>
                <w:szCs w:val="21"/>
              </w:rPr>
              <w:t>）</w:t>
            </w:r>
            <w:r>
              <w:rPr>
                <w:rFonts w:hint="eastAsia" w:cs="宋体" w:asciiTheme="minorEastAsia" w:hAnsiTheme="minorEastAsia"/>
                <w:szCs w:val="21"/>
              </w:rPr>
              <w:t>广播电视编导</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vAlign w:val="center"/>
          </w:tcPr>
          <w:p>
            <w:pPr>
              <w:spacing w:line="360" w:lineRule="auto"/>
              <w:rPr>
                <w:rFonts w:cs="宋体" w:asciiTheme="minorEastAsia" w:hAnsiTheme="minorEastAsia"/>
                <w:b/>
                <w:szCs w:val="21"/>
              </w:rPr>
            </w:pPr>
          </w:p>
        </w:tc>
        <w:tc>
          <w:tcPr>
            <w:tcW w:w="1739" w:type="dxa"/>
            <w:vMerge w:val="continue"/>
            <w:vAlign w:val="center"/>
          </w:tcPr>
          <w:p>
            <w:pPr>
              <w:spacing w:line="360" w:lineRule="auto"/>
              <w:rPr>
                <w:rFonts w:cs="宋体" w:asciiTheme="minorEastAsia" w:hAnsiTheme="minorEastAsia"/>
                <w:b/>
                <w:szCs w:val="21"/>
              </w:rPr>
            </w:pP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11</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w:t>
            </w:r>
            <w:r>
              <w:rPr>
                <w:rFonts w:hint="eastAsia" w:cs="宋体" w:asciiTheme="minorEastAsia" w:hAnsiTheme="minorEastAsia"/>
                <w:szCs w:val="21"/>
              </w:rPr>
              <w:t>130307</w:t>
            </w:r>
            <w:r>
              <w:rPr>
                <w:rFonts w:cs="宋体" w:asciiTheme="minorEastAsia" w:hAnsiTheme="minorEastAsia"/>
                <w:szCs w:val="21"/>
              </w:rPr>
              <w:t>）</w:t>
            </w:r>
            <w:r>
              <w:rPr>
                <w:rFonts w:hint="eastAsia" w:cs="宋体" w:asciiTheme="minorEastAsia" w:hAnsiTheme="minorEastAsia"/>
                <w:szCs w:val="21"/>
              </w:rPr>
              <w:t>戏剧影视美术设计</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vAlign w:val="center"/>
          </w:tcPr>
          <w:p>
            <w:pPr>
              <w:spacing w:line="360" w:lineRule="auto"/>
              <w:rPr>
                <w:rFonts w:cs="宋体" w:asciiTheme="minorEastAsia" w:hAnsiTheme="minorEastAsia"/>
                <w:b/>
                <w:szCs w:val="21"/>
              </w:rPr>
            </w:pPr>
          </w:p>
        </w:tc>
        <w:tc>
          <w:tcPr>
            <w:tcW w:w="1739" w:type="dxa"/>
            <w:vMerge w:val="continue"/>
            <w:vAlign w:val="center"/>
          </w:tcPr>
          <w:p>
            <w:pPr>
              <w:spacing w:line="360" w:lineRule="auto"/>
              <w:rPr>
                <w:rFonts w:cs="宋体" w:asciiTheme="minorEastAsia" w:hAnsiTheme="minorEastAsia"/>
                <w:b/>
                <w:szCs w:val="21"/>
              </w:rPr>
            </w:pP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12</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w:t>
            </w:r>
            <w:r>
              <w:rPr>
                <w:rFonts w:hint="eastAsia" w:cs="宋体" w:asciiTheme="minorEastAsia" w:hAnsiTheme="minorEastAsia"/>
                <w:szCs w:val="21"/>
              </w:rPr>
              <w:t>130309</w:t>
            </w:r>
            <w:r>
              <w:rPr>
                <w:rFonts w:cs="宋体" w:asciiTheme="minorEastAsia" w:hAnsiTheme="minorEastAsia"/>
                <w:szCs w:val="21"/>
              </w:rPr>
              <w:t>）</w:t>
            </w:r>
            <w:r>
              <w:rPr>
                <w:rFonts w:hint="eastAsia" w:cs="宋体" w:asciiTheme="minorEastAsia" w:hAnsiTheme="minorEastAsia"/>
                <w:szCs w:val="21"/>
              </w:rPr>
              <w:t>播音与主持艺术</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vAlign w:val="center"/>
          </w:tcPr>
          <w:p>
            <w:pPr>
              <w:spacing w:line="360" w:lineRule="auto"/>
              <w:rPr>
                <w:rFonts w:cs="宋体" w:asciiTheme="minorEastAsia" w:hAnsiTheme="minorEastAsia"/>
                <w:b/>
                <w:szCs w:val="21"/>
              </w:rPr>
            </w:pPr>
          </w:p>
        </w:tc>
        <w:tc>
          <w:tcPr>
            <w:tcW w:w="1739" w:type="dxa"/>
            <w:vMerge w:val="continue"/>
            <w:vAlign w:val="center"/>
          </w:tcPr>
          <w:p>
            <w:pPr>
              <w:spacing w:line="360" w:lineRule="auto"/>
              <w:rPr>
                <w:rFonts w:cs="宋体" w:asciiTheme="minorEastAsia" w:hAnsiTheme="minorEastAsia"/>
                <w:b/>
                <w:szCs w:val="21"/>
              </w:rPr>
            </w:pP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13</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（130310）</w:t>
            </w:r>
            <w:r>
              <w:rPr>
                <w:rFonts w:hint="eastAsia" w:cs="宋体" w:asciiTheme="minorEastAsia" w:hAnsiTheme="minorEastAsia"/>
                <w:szCs w:val="21"/>
              </w:rPr>
              <w:t>动画</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vAlign w:val="center"/>
          </w:tcPr>
          <w:p>
            <w:pPr>
              <w:spacing w:line="360" w:lineRule="auto"/>
              <w:rPr>
                <w:rFonts w:cs="宋体" w:asciiTheme="minorEastAsia" w:hAnsiTheme="minorEastAsia"/>
                <w:b/>
                <w:szCs w:val="21"/>
              </w:rPr>
            </w:pPr>
          </w:p>
        </w:tc>
        <w:tc>
          <w:tcPr>
            <w:tcW w:w="1739" w:type="dxa"/>
            <w:vAlign w:val="center"/>
          </w:tcPr>
          <w:p>
            <w:pPr>
              <w:spacing w:line="360" w:lineRule="auto"/>
              <w:rPr>
                <w:rFonts w:cs="宋体" w:asciiTheme="minorEastAsia" w:hAnsiTheme="minorEastAsia"/>
                <w:b/>
                <w:szCs w:val="21"/>
              </w:rPr>
            </w:pPr>
            <w:r>
              <w:rPr>
                <w:rFonts w:hint="eastAsia" w:cs="宋体" w:asciiTheme="minorEastAsia" w:hAnsiTheme="minorEastAsia"/>
                <w:b/>
                <w:szCs w:val="21"/>
              </w:rPr>
              <w:t>美术学类</w:t>
            </w: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14</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w:t>
            </w:r>
            <w:r>
              <w:rPr>
                <w:rFonts w:hint="eastAsia" w:cs="宋体" w:asciiTheme="minorEastAsia" w:hAnsiTheme="minorEastAsia"/>
                <w:szCs w:val="21"/>
              </w:rPr>
              <w:t>130401</w:t>
            </w:r>
            <w:r>
              <w:rPr>
                <w:rFonts w:cs="宋体" w:asciiTheme="minorEastAsia" w:hAnsiTheme="minorEastAsia"/>
                <w:szCs w:val="21"/>
              </w:rPr>
              <w:t>）</w:t>
            </w:r>
            <w:r>
              <w:rPr>
                <w:rFonts w:hint="eastAsia" w:cs="宋体" w:asciiTheme="minorEastAsia" w:hAnsiTheme="minorEastAsia"/>
                <w:szCs w:val="21"/>
              </w:rPr>
              <w:t>美术学</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vAlign w:val="center"/>
          </w:tcPr>
          <w:p>
            <w:pPr>
              <w:spacing w:line="360" w:lineRule="auto"/>
              <w:rPr>
                <w:rFonts w:cs="宋体" w:asciiTheme="minorEastAsia" w:hAnsiTheme="minorEastAsia"/>
                <w:b/>
                <w:szCs w:val="21"/>
              </w:rPr>
            </w:pPr>
          </w:p>
        </w:tc>
        <w:tc>
          <w:tcPr>
            <w:tcW w:w="1739" w:type="dxa"/>
            <w:vMerge w:val="restart"/>
            <w:vAlign w:val="center"/>
          </w:tcPr>
          <w:p>
            <w:pPr>
              <w:spacing w:line="360" w:lineRule="auto"/>
              <w:rPr>
                <w:rFonts w:cs="宋体" w:asciiTheme="minorEastAsia" w:hAnsiTheme="minorEastAsia"/>
                <w:b/>
                <w:szCs w:val="21"/>
              </w:rPr>
            </w:pPr>
            <w:r>
              <w:rPr>
                <w:rFonts w:cs="宋体" w:asciiTheme="minorEastAsia" w:hAnsiTheme="minorEastAsia"/>
                <w:b/>
                <w:szCs w:val="21"/>
              </w:rPr>
              <w:t>设计学类</w:t>
            </w: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15</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（130502）视觉传达设计</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vAlign w:val="center"/>
          </w:tcPr>
          <w:p>
            <w:pPr>
              <w:spacing w:line="360" w:lineRule="auto"/>
              <w:rPr>
                <w:rFonts w:cs="宋体" w:asciiTheme="minorEastAsia" w:hAnsiTheme="minorEastAsia"/>
                <w:szCs w:val="21"/>
              </w:rPr>
            </w:pPr>
          </w:p>
        </w:tc>
        <w:tc>
          <w:tcPr>
            <w:tcW w:w="1739" w:type="dxa"/>
            <w:vMerge w:val="continue"/>
            <w:vAlign w:val="center"/>
          </w:tcPr>
          <w:p>
            <w:pPr>
              <w:spacing w:line="360" w:lineRule="auto"/>
              <w:rPr>
                <w:rFonts w:cs="宋体" w:asciiTheme="minorEastAsia" w:hAnsiTheme="minorEastAsia"/>
                <w:szCs w:val="21"/>
              </w:rPr>
            </w:pP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16</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（130503）环境设计</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tcPr>
          <w:p>
            <w:pPr>
              <w:spacing w:line="360" w:lineRule="auto"/>
              <w:rPr>
                <w:rFonts w:cs="宋体" w:asciiTheme="minorEastAsia" w:hAnsiTheme="minorEastAsia"/>
                <w:szCs w:val="21"/>
              </w:rPr>
            </w:pPr>
          </w:p>
        </w:tc>
        <w:tc>
          <w:tcPr>
            <w:tcW w:w="1739" w:type="dxa"/>
            <w:vMerge w:val="continue"/>
          </w:tcPr>
          <w:p>
            <w:pPr>
              <w:spacing w:line="360" w:lineRule="auto"/>
              <w:rPr>
                <w:rFonts w:cs="宋体" w:asciiTheme="minorEastAsia" w:hAnsiTheme="minorEastAsia"/>
                <w:szCs w:val="21"/>
              </w:rPr>
            </w:pP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17</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（130504）产品设计</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tcPr>
          <w:p>
            <w:pPr>
              <w:spacing w:line="360" w:lineRule="auto"/>
              <w:rPr>
                <w:rFonts w:cs="宋体" w:asciiTheme="minorEastAsia" w:hAnsiTheme="minorEastAsia"/>
                <w:szCs w:val="21"/>
              </w:rPr>
            </w:pPr>
          </w:p>
        </w:tc>
        <w:tc>
          <w:tcPr>
            <w:tcW w:w="1739" w:type="dxa"/>
            <w:vMerge w:val="continue"/>
          </w:tcPr>
          <w:p>
            <w:pPr>
              <w:spacing w:line="360" w:lineRule="auto"/>
              <w:rPr>
                <w:rFonts w:cs="宋体" w:asciiTheme="minorEastAsia" w:hAnsiTheme="minorEastAsia"/>
                <w:szCs w:val="21"/>
              </w:rPr>
            </w:pP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18</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（13050</w:t>
            </w:r>
            <w:r>
              <w:rPr>
                <w:rFonts w:hint="eastAsia" w:cs="宋体" w:asciiTheme="minorEastAsia" w:hAnsiTheme="minorEastAsia"/>
                <w:szCs w:val="21"/>
              </w:rPr>
              <w:t>5</w:t>
            </w:r>
            <w:r>
              <w:rPr>
                <w:rFonts w:cs="宋体" w:asciiTheme="minorEastAsia" w:hAnsiTheme="minorEastAsia"/>
                <w:szCs w:val="21"/>
              </w:rPr>
              <w:t>）</w:t>
            </w:r>
            <w:r>
              <w:rPr>
                <w:rFonts w:hint="eastAsia" w:cs="宋体" w:asciiTheme="minorEastAsia" w:hAnsiTheme="minorEastAsia"/>
                <w:szCs w:val="21"/>
              </w:rPr>
              <w:t>服装与服饰设计</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36" w:type="dxa"/>
            <w:vMerge w:val="continue"/>
          </w:tcPr>
          <w:p>
            <w:pPr>
              <w:spacing w:line="360" w:lineRule="auto"/>
              <w:rPr>
                <w:rFonts w:cs="宋体" w:asciiTheme="minorEastAsia" w:hAnsiTheme="minorEastAsia"/>
                <w:szCs w:val="21"/>
              </w:rPr>
            </w:pPr>
          </w:p>
        </w:tc>
        <w:tc>
          <w:tcPr>
            <w:tcW w:w="1739" w:type="dxa"/>
            <w:vMerge w:val="continue"/>
          </w:tcPr>
          <w:p>
            <w:pPr>
              <w:spacing w:line="360" w:lineRule="auto"/>
              <w:rPr>
                <w:rFonts w:cs="宋体" w:asciiTheme="minorEastAsia" w:hAnsiTheme="minorEastAsia"/>
                <w:szCs w:val="21"/>
              </w:rPr>
            </w:pPr>
          </w:p>
        </w:tc>
        <w:tc>
          <w:tcPr>
            <w:tcW w:w="567"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19</w:t>
            </w:r>
          </w:p>
        </w:tc>
        <w:tc>
          <w:tcPr>
            <w:tcW w:w="3257" w:type="dxa"/>
          </w:tcPr>
          <w:p>
            <w:pPr>
              <w:spacing w:line="360" w:lineRule="auto"/>
              <w:rPr>
                <w:rFonts w:cs="宋体" w:asciiTheme="minorEastAsia" w:hAnsiTheme="minorEastAsia"/>
                <w:szCs w:val="21"/>
              </w:rPr>
            </w:pPr>
            <w:r>
              <w:rPr>
                <w:rFonts w:cs="宋体" w:asciiTheme="minorEastAsia" w:hAnsiTheme="minorEastAsia"/>
                <w:szCs w:val="21"/>
              </w:rPr>
              <w:t>（13050</w:t>
            </w:r>
            <w:r>
              <w:rPr>
                <w:rFonts w:hint="eastAsia" w:cs="宋体" w:asciiTheme="minorEastAsia" w:hAnsiTheme="minorEastAsia"/>
                <w:szCs w:val="21"/>
              </w:rPr>
              <w:t>8</w:t>
            </w:r>
            <w:r>
              <w:rPr>
                <w:rFonts w:cs="宋体" w:asciiTheme="minorEastAsia" w:hAnsiTheme="minorEastAsia"/>
                <w:szCs w:val="21"/>
              </w:rPr>
              <w:t>）</w:t>
            </w:r>
            <w:r>
              <w:rPr>
                <w:rFonts w:hint="eastAsia" w:cs="宋体" w:asciiTheme="minorEastAsia" w:hAnsiTheme="minorEastAsia"/>
                <w:szCs w:val="21"/>
              </w:rPr>
              <w:t>数字媒体艺术</w:t>
            </w:r>
          </w:p>
        </w:tc>
        <w:tc>
          <w:tcPr>
            <w:tcW w:w="1559" w:type="dxa"/>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2012</w:t>
            </w:r>
          </w:p>
        </w:tc>
      </w:tr>
    </w:tbl>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w:t>
      </w:r>
      <w:r>
        <w:rPr>
          <w:rFonts w:hint="eastAsia" w:asciiTheme="minorEastAsia" w:hAnsiTheme="minorEastAsia" w:cstheme="minorEastAsia"/>
          <w:sz w:val="24"/>
          <w:szCs w:val="24"/>
        </w:rPr>
        <w:t>2011</w:t>
      </w:r>
      <w:r>
        <w:rPr>
          <w:rFonts w:asciiTheme="minorEastAsia" w:hAnsiTheme="minorEastAsia" w:cstheme="minorEastAsia"/>
          <w:sz w:val="24"/>
          <w:szCs w:val="24"/>
        </w:rPr>
        <w:t>年升为普通本科高校，</w:t>
      </w:r>
      <w:r>
        <w:rPr>
          <w:rFonts w:hint="eastAsia" w:asciiTheme="minorEastAsia" w:hAnsiTheme="minorEastAsia" w:cstheme="minorEastAsia"/>
          <w:sz w:val="24"/>
          <w:szCs w:val="24"/>
        </w:rPr>
        <w:t>5</w:t>
      </w:r>
      <w:r>
        <w:rPr>
          <w:rFonts w:asciiTheme="minorEastAsia" w:hAnsiTheme="minorEastAsia" w:cstheme="minorEastAsia"/>
          <w:sz w:val="24"/>
          <w:szCs w:val="24"/>
        </w:rPr>
        <w:t xml:space="preserve"> 年间我校本科招生专业设置从 </w:t>
      </w:r>
      <w:r>
        <w:rPr>
          <w:rFonts w:hint="eastAsia" w:asciiTheme="minorEastAsia" w:hAnsiTheme="minorEastAsia" w:cstheme="minorEastAsia"/>
          <w:sz w:val="24"/>
          <w:szCs w:val="24"/>
        </w:rPr>
        <w:t>5</w:t>
      </w:r>
      <w:r>
        <w:rPr>
          <w:rFonts w:asciiTheme="minorEastAsia" w:hAnsiTheme="minorEastAsia" w:cstheme="minorEastAsia"/>
          <w:sz w:val="24"/>
          <w:szCs w:val="24"/>
        </w:rPr>
        <w:t>个上升到</w:t>
      </w:r>
      <w:r>
        <w:rPr>
          <w:rFonts w:hint="eastAsia" w:asciiTheme="minorEastAsia" w:hAnsiTheme="minorEastAsia" w:cstheme="minorEastAsia"/>
          <w:sz w:val="24"/>
          <w:szCs w:val="24"/>
        </w:rPr>
        <w:t>19</w:t>
      </w:r>
      <w:r>
        <w:rPr>
          <w:rFonts w:asciiTheme="minorEastAsia" w:hAnsiTheme="minorEastAsia" w:cstheme="minorEastAsia"/>
          <w:sz w:val="24"/>
          <w:szCs w:val="24"/>
        </w:rPr>
        <w:t xml:space="preserve">个（如图 </w:t>
      </w:r>
      <w:r>
        <w:rPr>
          <w:rFonts w:hint="eastAsia" w:asciiTheme="minorEastAsia" w:hAnsiTheme="minorEastAsia" w:cstheme="minorEastAsia"/>
          <w:sz w:val="24"/>
          <w:szCs w:val="24"/>
        </w:rPr>
        <w:t>2-</w:t>
      </w:r>
      <w:r>
        <w:rPr>
          <w:rFonts w:asciiTheme="minorEastAsia" w:hAnsiTheme="minorEastAsia" w:cstheme="minorEastAsia"/>
          <w:sz w:val="24"/>
          <w:szCs w:val="24"/>
        </w:rPr>
        <w:t xml:space="preserve">1 </w:t>
      </w:r>
      <w:r>
        <w:rPr>
          <w:rFonts w:hint="eastAsia" w:asciiTheme="minorEastAsia" w:hAnsiTheme="minorEastAsia" w:cstheme="minorEastAsia"/>
          <w:sz w:val="24"/>
          <w:szCs w:val="24"/>
        </w:rPr>
        <w:t>江西</w:t>
      </w:r>
      <w:r>
        <w:rPr>
          <w:rFonts w:asciiTheme="minorEastAsia" w:hAnsiTheme="minorEastAsia" w:cstheme="minorEastAsia"/>
          <w:sz w:val="24"/>
          <w:szCs w:val="24"/>
        </w:rPr>
        <w:t>服装学院设置本科专业数统计</w:t>
      </w:r>
      <w:r>
        <w:rPr>
          <w:rFonts w:hint="eastAsia" w:asciiTheme="minorEastAsia" w:hAnsiTheme="minorEastAsia" w:cstheme="minorEastAsia"/>
          <w:sz w:val="24"/>
          <w:szCs w:val="24"/>
        </w:rPr>
        <w:t>图</w:t>
      </w:r>
      <w:r>
        <w:rPr>
          <w:rFonts w:asciiTheme="minorEastAsia" w:hAnsiTheme="minorEastAsia" w:cstheme="minorEastAsia"/>
          <w:sz w:val="24"/>
          <w:szCs w:val="24"/>
        </w:rPr>
        <w:t>所示）</w:t>
      </w:r>
      <w:r>
        <w:rPr>
          <w:rFonts w:hint="eastAsia" w:asciiTheme="minorEastAsia" w:hAnsiTheme="minorEastAsia" w:cstheme="minorEastAsia"/>
          <w:sz w:val="24"/>
          <w:szCs w:val="24"/>
        </w:rPr>
        <w:t>。现</w:t>
      </w:r>
      <w:r>
        <w:rPr>
          <w:rFonts w:asciiTheme="minorEastAsia" w:hAnsiTheme="minorEastAsia" w:cstheme="minorEastAsia"/>
          <w:sz w:val="24"/>
          <w:szCs w:val="24"/>
        </w:rPr>
        <w:t>初步形成了以纺织服装</w:t>
      </w:r>
      <w:r>
        <w:rPr>
          <w:rFonts w:hint="eastAsia" w:asciiTheme="minorEastAsia" w:hAnsiTheme="minorEastAsia" w:cstheme="minorEastAsia"/>
          <w:sz w:val="24"/>
          <w:szCs w:val="24"/>
        </w:rPr>
        <w:t>为</w:t>
      </w:r>
      <w:r>
        <w:rPr>
          <w:rFonts w:asciiTheme="minorEastAsia" w:hAnsiTheme="minorEastAsia" w:cstheme="minorEastAsia"/>
          <w:sz w:val="24"/>
          <w:szCs w:val="24"/>
        </w:rPr>
        <w:t>主体</w:t>
      </w:r>
      <w:r>
        <w:rPr>
          <w:rFonts w:hint="eastAsia" w:asciiTheme="minorEastAsia" w:hAnsiTheme="minorEastAsia" w:cstheme="minorEastAsia"/>
          <w:sz w:val="24"/>
          <w:szCs w:val="24"/>
        </w:rPr>
        <w:t>、</w:t>
      </w:r>
      <w:r>
        <w:rPr>
          <w:rFonts w:asciiTheme="minorEastAsia" w:hAnsiTheme="minorEastAsia" w:cstheme="minorEastAsia"/>
          <w:sz w:val="24"/>
          <w:szCs w:val="24"/>
        </w:rPr>
        <w:t>艺术传媒和经贸管理为两翼结构较为合理的学科专业体系。2015-2016 学年学校成功申报了3个新专业，分别是服装设计与工艺教育</w:t>
      </w:r>
      <w:r>
        <w:rPr>
          <w:rFonts w:hint="eastAsia" w:asciiTheme="minorEastAsia" w:hAnsiTheme="minorEastAsia" w:cstheme="minorEastAsia"/>
          <w:sz w:val="24"/>
          <w:szCs w:val="24"/>
        </w:rPr>
        <w:t>、播音</w:t>
      </w:r>
      <w:r>
        <w:rPr>
          <w:rFonts w:asciiTheme="minorEastAsia" w:hAnsiTheme="minorEastAsia" w:cstheme="minorEastAsia"/>
          <w:sz w:val="24"/>
          <w:szCs w:val="24"/>
        </w:rPr>
        <w:t>与主持艺术和戏剧与影视美术设计。</w:t>
      </w:r>
    </w:p>
    <w:p>
      <w:pPr>
        <w:jc w:val="center"/>
        <w:rPr>
          <w:rFonts w:ascii="仿宋_GB2312" w:hAnsi="宋体" w:eastAsia="仿宋_GB2312" w:cs="宋体"/>
          <w:szCs w:val="21"/>
        </w:rPr>
      </w:pPr>
      <w:r>
        <w:rPr>
          <w:rFonts w:ascii="仿宋_GB2312" w:hAnsi="宋体" w:eastAsia="仿宋_GB2312" w:cs="宋体"/>
          <w:szCs w:val="21"/>
        </w:rPr>
        <w:drawing>
          <wp:inline distT="0" distB="0" distL="0" distR="0">
            <wp:extent cx="4398645" cy="2117090"/>
            <wp:effectExtent l="0" t="0" r="20955" b="1651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center"/>
        <w:rPr>
          <w:rFonts w:cs="宋体" w:asciiTheme="minorEastAsia" w:hAnsiTheme="minorEastAsia"/>
          <w:szCs w:val="21"/>
        </w:rPr>
      </w:pPr>
      <w:r>
        <w:rPr>
          <w:rFonts w:hint="eastAsia" w:cs="宋体" w:asciiTheme="minorEastAsia" w:hAnsiTheme="minorEastAsia"/>
          <w:szCs w:val="21"/>
        </w:rPr>
        <w:t>图2-1 江西服装学院本科专业设置统计</w:t>
      </w:r>
    </w:p>
    <w:p>
      <w:pPr>
        <w:pStyle w:val="3"/>
        <w:spacing w:line="240" w:lineRule="auto"/>
        <w:ind w:left="0" w:firstLine="0" w:firstLineChars="0"/>
        <w:rPr>
          <w:rFonts w:ascii="黑体" w:hAnsi="黑体" w:cs="宋体"/>
          <w:b w:val="0"/>
          <w:bCs w:val="0"/>
          <w:snapToGrid/>
        </w:rPr>
      </w:pPr>
      <w:bookmarkStart w:id="60" w:name="_Toc465499578"/>
      <w:bookmarkStart w:id="61" w:name="_Toc465671303"/>
      <w:bookmarkStart w:id="62" w:name="_Toc465433472"/>
      <w:bookmarkStart w:id="63" w:name="_Toc465417248"/>
      <w:bookmarkStart w:id="64" w:name="_Toc469036827"/>
      <w:bookmarkStart w:id="65" w:name="_Toc469900299"/>
      <w:bookmarkStart w:id="66" w:name="_Toc21606"/>
      <w:bookmarkStart w:id="67" w:name="_Toc465498446"/>
      <w:r>
        <w:rPr>
          <w:rFonts w:ascii="黑体" w:hAnsi="黑体" w:cs="宋体"/>
          <w:b w:val="0"/>
          <w:bCs w:val="0"/>
          <w:snapToGrid/>
        </w:rPr>
        <w:t>（</w:t>
      </w:r>
      <w:r>
        <w:rPr>
          <w:rFonts w:hint="eastAsia" w:ascii="黑体" w:hAnsi="黑体" w:cs="宋体"/>
          <w:b w:val="0"/>
          <w:bCs w:val="0"/>
          <w:snapToGrid/>
        </w:rPr>
        <w:t>三</w:t>
      </w:r>
      <w:r>
        <w:rPr>
          <w:rFonts w:ascii="黑体" w:hAnsi="黑体" w:cs="宋体"/>
          <w:b w:val="0"/>
          <w:bCs w:val="0"/>
          <w:snapToGrid/>
        </w:rPr>
        <w:t>）</w:t>
      </w:r>
      <w:r>
        <w:rPr>
          <w:rFonts w:hint="eastAsia" w:ascii="黑体" w:hAnsi="黑体" w:cs="宋体"/>
          <w:b w:val="0"/>
          <w:bCs w:val="0"/>
          <w:snapToGrid/>
        </w:rPr>
        <w:t>各类全日制在校学生情况及本科生所占比例</w:t>
      </w:r>
      <w:bookmarkEnd w:id="60"/>
      <w:bookmarkEnd w:id="61"/>
      <w:bookmarkEnd w:id="62"/>
      <w:bookmarkEnd w:id="63"/>
      <w:bookmarkEnd w:id="64"/>
      <w:bookmarkEnd w:id="65"/>
      <w:bookmarkEnd w:id="66"/>
      <w:bookmarkEnd w:id="67"/>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2015-2016学年</w:t>
      </w:r>
      <w:r>
        <w:rPr>
          <w:rFonts w:asciiTheme="minorEastAsia" w:hAnsiTheme="minorEastAsia" w:cstheme="minorEastAsia"/>
          <w:sz w:val="24"/>
          <w:szCs w:val="24"/>
        </w:rPr>
        <w:t>，学校共有全日制在校生</w:t>
      </w:r>
      <w:r>
        <w:rPr>
          <w:rFonts w:hint="eastAsia" w:asciiTheme="minorEastAsia" w:hAnsiTheme="minorEastAsia" w:cstheme="minorEastAsia"/>
          <w:sz w:val="24"/>
          <w:szCs w:val="24"/>
        </w:rPr>
        <w:t>11613</w:t>
      </w:r>
      <w:r>
        <w:rPr>
          <w:rFonts w:asciiTheme="minorEastAsia" w:hAnsiTheme="minorEastAsia" w:cstheme="minorEastAsia"/>
          <w:sz w:val="24"/>
          <w:szCs w:val="24"/>
        </w:rPr>
        <w:t xml:space="preserve">人。其中 普通本科生 </w:t>
      </w:r>
      <w:r>
        <w:rPr>
          <w:rFonts w:hint="eastAsia" w:asciiTheme="minorEastAsia" w:hAnsiTheme="minorEastAsia" w:cstheme="minorEastAsia"/>
          <w:sz w:val="24"/>
          <w:szCs w:val="24"/>
        </w:rPr>
        <w:t>4858</w:t>
      </w:r>
      <w:r>
        <w:rPr>
          <w:rFonts w:asciiTheme="minorEastAsia" w:hAnsiTheme="minorEastAsia" w:cstheme="minorEastAsia"/>
          <w:sz w:val="24"/>
          <w:szCs w:val="24"/>
        </w:rPr>
        <w:t>人（含专升本</w:t>
      </w:r>
      <w:r>
        <w:rPr>
          <w:rFonts w:hint="eastAsia" w:asciiTheme="minorEastAsia" w:hAnsiTheme="minorEastAsia" w:cstheme="minorEastAsia"/>
          <w:sz w:val="24"/>
          <w:szCs w:val="24"/>
        </w:rPr>
        <w:t>57</w:t>
      </w:r>
      <w:r>
        <w:rPr>
          <w:rFonts w:asciiTheme="minorEastAsia" w:hAnsiTheme="minorEastAsia" w:cstheme="minorEastAsia"/>
          <w:sz w:val="24"/>
          <w:szCs w:val="24"/>
        </w:rPr>
        <w:t xml:space="preserve">人），占全校在校生人数的 </w:t>
      </w:r>
      <w:r>
        <w:rPr>
          <w:rFonts w:hint="eastAsia" w:asciiTheme="minorEastAsia" w:hAnsiTheme="minorEastAsia" w:cstheme="minorEastAsia"/>
          <w:sz w:val="24"/>
          <w:szCs w:val="24"/>
        </w:rPr>
        <w:t>41.83</w:t>
      </w:r>
      <w:r>
        <w:rPr>
          <w:rFonts w:asciiTheme="minorEastAsia" w:hAnsiTheme="minorEastAsia" w:cstheme="minorEastAsia"/>
          <w:sz w:val="24"/>
          <w:szCs w:val="24"/>
        </w:rPr>
        <w:t>%；专科生</w:t>
      </w:r>
      <w:r>
        <w:rPr>
          <w:rFonts w:hint="eastAsia" w:asciiTheme="minorEastAsia" w:hAnsiTheme="minorEastAsia" w:cstheme="minorEastAsia"/>
          <w:sz w:val="24"/>
          <w:szCs w:val="24"/>
        </w:rPr>
        <w:t>6619</w:t>
      </w:r>
      <w:r>
        <w:rPr>
          <w:rFonts w:asciiTheme="minorEastAsia" w:hAnsiTheme="minorEastAsia" w:cstheme="minorEastAsia"/>
          <w:sz w:val="24"/>
          <w:szCs w:val="24"/>
        </w:rPr>
        <w:t>人，占全校在校生人数的</w:t>
      </w:r>
      <w:r>
        <w:rPr>
          <w:rFonts w:hint="eastAsia" w:asciiTheme="minorEastAsia" w:hAnsiTheme="minorEastAsia" w:cstheme="minorEastAsia"/>
          <w:sz w:val="24"/>
          <w:szCs w:val="24"/>
        </w:rPr>
        <w:t>57.00</w:t>
      </w:r>
      <w:r>
        <w:rPr>
          <w:rFonts w:asciiTheme="minorEastAsia" w:hAnsiTheme="minorEastAsia" w:cstheme="minorEastAsia"/>
          <w:sz w:val="24"/>
          <w:szCs w:val="24"/>
        </w:rPr>
        <w:t xml:space="preserve">%；预科学生 </w:t>
      </w:r>
      <w:r>
        <w:rPr>
          <w:rFonts w:hint="eastAsia" w:asciiTheme="minorEastAsia" w:hAnsiTheme="minorEastAsia" w:cstheme="minorEastAsia"/>
          <w:sz w:val="24"/>
          <w:szCs w:val="24"/>
        </w:rPr>
        <w:t>136</w:t>
      </w:r>
      <w:r>
        <w:rPr>
          <w:rFonts w:asciiTheme="minorEastAsia" w:hAnsiTheme="minorEastAsia" w:cstheme="minorEastAsia"/>
          <w:sz w:val="24"/>
          <w:szCs w:val="24"/>
        </w:rPr>
        <w:t xml:space="preserve">人， 占全校在校生人数的 </w:t>
      </w:r>
      <w:r>
        <w:rPr>
          <w:rFonts w:hint="eastAsia" w:asciiTheme="minorEastAsia" w:hAnsiTheme="minorEastAsia" w:cstheme="minorEastAsia"/>
          <w:sz w:val="24"/>
          <w:szCs w:val="24"/>
        </w:rPr>
        <w:t>1.17</w:t>
      </w:r>
      <w:r>
        <w:rPr>
          <w:rFonts w:asciiTheme="minorEastAsia" w:hAnsiTheme="minorEastAsia" w:cstheme="minorEastAsia"/>
          <w:sz w:val="24"/>
          <w:szCs w:val="24"/>
        </w:rPr>
        <w:t>%（如图 2</w:t>
      </w:r>
      <w:r>
        <w:rPr>
          <w:rFonts w:hint="eastAsia" w:asciiTheme="minorEastAsia" w:hAnsiTheme="minorEastAsia" w:cstheme="minorEastAsia"/>
          <w:sz w:val="24"/>
          <w:szCs w:val="24"/>
        </w:rPr>
        <w:t>-2江西服装学院</w:t>
      </w:r>
      <w:r>
        <w:rPr>
          <w:rFonts w:asciiTheme="minorEastAsia" w:hAnsiTheme="minorEastAsia" w:cstheme="minorEastAsia"/>
          <w:sz w:val="24"/>
          <w:szCs w:val="24"/>
        </w:rPr>
        <w:t>全日制在校生人数情况所示）。</w:t>
      </w:r>
    </w:p>
    <w:p>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drawing>
          <wp:inline distT="0" distB="0" distL="0" distR="0">
            <wp:extent cx="3850005" cy="1799590"/>
            <wp:effectExtent l="4445" t="4445" r="12700" b="5715"/>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center"/>
        <w:rPr>
          <w:rFonts w:asciiTheme="minorEastAsia" w:hAnsiTheme="minorEastAsia" w:cstheme="minorEastAsia"/>
          <w:szCs w:val="21"/>
        </w:rPr>
      </w:pPr>
      <w:r>
        <w:rPr>
          <w:rFonts w:hint="eastAsia" w:asciiTheme="minorEastAsia" w:hAnsiTheme="minorEastAsia" w:cstheme="minorEastAsia"/>
          <w:szCs w:val="21"/>
        </w:rPr>
        <w:t>图 2-2 江西服装学院全日制在校生人数情况</w:t>
      </w:r>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从学科门类分布来看，我校全日制本科生中</w:t>
      </w:r>
      <w:r>
        <w:rPr>
          <w:rFonts w:hint="eastAsia" w:asciiTheme="minorEastAsia" w:hAnsiTheme="minorEastAsia" w:cstheme="minorEastAsia"/>
          <w:sz w:val="24"/>
          <w:szCs w:val="24"/>
        </w:rPr>
        <w:t>艺术</w:t>
      </w:r>
      <w:r>
        <w:rPr>
          <w:rFonts w:asciiTheme="minorEastAsia" w:hAnsiTheme="minorEastAsia" w:cstheme="minorEastAsia"/>
          <w:sz w:val="24"/>
          <w:szCs w:val="24"/>
        </w:rPr>
        <w:t>学、</w:t>
      </w:r>
      <w:r>
        <w:rPr>
          <w:rFonts w:hint="eastAsia" w:asciiTheme="minorEastAsia" w:hAnsiTheme="minorEastAsia" w:cstheme="minorEastAsia"/>
          <w:sz w:val="24"/>
          <w:szCs w:val="24"/>
        </w:rPr>
        <w:t>工</w:t>
      </w:r>
      <w:r>
        <w:rPr>
          <w:rFonts w:asciiTheme="minorEastAsia" w:hAnsiTheme="minorEastAsia" w:cstheme="minorEastAsia"/>
          <w:sz w:val="24"/>
          <w:szCs w:val="24"/>
        </w:rPr>
        <w:t>学和</w:t>
      </w:r>
      <w:r>
        <w:rPr>
          <w:rFonts w:hint="eastAsia" w:asciiTheme="minorEastAsia" w:hAnsiTheme="minorEastAsia" w:cstheme="minorEastAsia"/>
          <w:sz w:val="24"/>
          <w:szCs w:val="24"/>
        </w:rPr>
        <w:t>管理</w:t>
      </w:r>
      <w:r>
        <w:rPr>
          <w:rFonts w:asciiTheme="minorEastAsia" w:hAnsiTheme="minorEastAsia" w:cstheme="minorEastAsia"/>
          <w:sz w:val="24"/>
          <w:szCs w:val="24"/>
        </w:rPr>
        <w:t>学人数排在前三位。各学科学生情况依次是：</w:t>
      </w:r>
      <w:r>
        <w:rPr>
          <w:rFonts w:hint="eastAsia" w:asciiTheme="minorEastAsia" w:hAnsiTheme="minorEastAsia" w:cstheme="minorEastAsia"/>
          <w:sz w:val="24"/>
          <w:szCs w:val="24"/>
        </w:rPr>
        <w:t>艺术</w:t>
      </w:r>
      <w:r>
        <w:rPr>
          <w:rFonts w:asciiTheme="minorEastAsia" w:hAnsiTheme="minorEastAsia" w:cstheme="minorEastAsia"/>
          <w:sz w:val="24"/>
          <w:szCs w:val="24"/>
        </w:rPr>
        <w:t xml:space="preserve">学 </w:t>
      </w:r>
      <w:r>
        <w:rPr>
          <w:rFonts w:hint="eastAsia" w:asciiTheme="minorEastAsia" w:hAnsiTheme="minorEastAsia" w:cstheme="minorEastAsia"/>
          <w:sz w:val="24"/>
          <w:szCs w:val="24"/>
        </w:rPr>
        <w:t>2880</w:t>
      </w:r>
      <w:r>
        <w:rPr>
          <w:rFonts w:asciiTheme="minorEastAsia" w:hAnsiTheme="minorEastAsia" w:cstheme="minorEastAsia"/>
          <w:sz w:val="24"/>
          <w:szCs w:val="24"/>
        </w:rPr>
        <w:t xml:space="preserve">人，占本科生人数的 </w:t>
      </w:r>
      <w:r>
        <w:rPr>
          <w:rFonts w:hint="eastAsia" w:asciiTheme="minorEastAsia" w:hAnsiTheme="minorEastAsia" w:cstheme="minorEastAsia"/>
          <w:sz w:val="24"/>
          <w:szCs w:val="24"/>
        </w:rPr>
        <w:t>59.28</w:t>
      </w:r>
      <w:r>
        <w:rPr>
          <w:rFonts w:asciiTheme="minorEastAsia" w:hAnsiTheme="minorEastAsia" w:cstheme="minorEastAsia"/>
          <w:sz w:val="24"/>
          <w:szCs w:val="24"/>
        </w:rPr>
        <w:t>%；</w:t>
      </w:r>
      <w:r>
        <w:rPr>
          <w:rFonts w:hint="eastAsia" w:asciiTheme="minorEastAsia" w:hAnsiTheme="minorEastAsia" w:cstheme="minorEastAsia"/>
          <w:sz w:val="24"/>
          <w:szCs w:val="24"/>
        </w:rPr>
        <w:t>工</w:t>
      </w:r>
      <w:r>
        <w:rPr>
          <w:rFonts w:asciiTheme="minorEastAsia" w:hAnsiTheme="minorEastAsia" w:cstheme="minorEastAsia"/>
          <w:sz w:val="24"/>
          <w:szCs w:val="24"/>
        </w:rPr>
        <w:t xml:space="preserve">学 </w:t>
      </w:r>
      <w:r>
        <w:rPr>
          <w:rFonts w:hint="eastAsia" w:asciiTheme="minorEastAsia" w:hAnsiTheme="minorEastAsia" w:cstheme="minorEastAsia"/>
          <w:sz w:val="24"/>
          <w:szCs w:val="24"/>
        </w:rPr>
        <w:t>1314</w:t>
      </w:r>
      <w:r>
        <w:rPr>
          <w:rFonts w:asciiTheme="minorEastAsia" w:hAnsiTheme="minorEastAsia" w:cstheme="minorEastAsia"/>
          <w:sz w:val="24"/>
          <w:szCs w:val="24"/>
        </w:rPr>
        <w:t>人，占本科生人数的</w:t>
      </w:r>
      <w:r>
        <w:rPr>
          <w:rFonts w:hint="eastAsia" w:asciiTheme="minorEastAsia" w:hAnsiTheme="minorEastAsia" w:cstheme="minorEastAsia"/>
          <w:sz w:val="24"/>
          <w:szCs w:val="24"/>
        </w:rPr>
        <w:t>27.05</w:t>
      </w:r>
      <w:r>
        <w:rPr>
          <w:rFonts w:asciiTheme="minorEastAsia" w:hAnsiTheme="minorEastAsia" w:cstheme="minorEastAsia"/>
          <w:sz w:val="24"/>
          <w:szCs w:val="24"/>
        </w:rPr>
        <w:t>%；</w:t>
      </w:r>
      <w:r>
        <w:rPr>
          <w:rFonts w:hint="eastAsia" w:asciiTheme="minorEastAsia" w:hAnsiTheme="minorEastAsia" w:cstheme="minorEastAsia"/>
          <w:sz w:val="24"/>
          <w:szCs w:val="24"/>
        </w:rPr>
        <w:t>管理</w:t>
      </w:r>
      <w:r>
        <w:rPr>
          <w:rFonts w:asciiTheme="minorEastAsia" w:hAnsiTheme="minorEastAsia" w:cstheme="minorEastAsia"/>
          <w:sz w:val="24"/>
          <w:szCs w:val="24"/>
        </w:rPr>
        <w:t>学</w:t>
      </w:r>
      <w:r>
        <w:rPr>
          <w:rFonts w:hint="eastAsia" w:asciiTheme="minorEastAsia" w:hAnsiTheme="minorEastAsia" w:cstheme="minorEastAsia"/>
          <w:sz w:val="24"/>
          <w:szCs w:val="24"/>
        </w:rPr>
        <w:t>257</w:t>
      </w:r>
      <w:r>
        <w:rPr>
          <w:rFonts w:asciiTheme="minorEastAsia" w:hAnsiTheme="minorEastAsia" w:cstheme="minorEastAsia"/>
          <w:sz w:val="24"/>
          <w:szCs w:val="24"/>
        </w:rPr>
        <w:t>人，占本科生人数的</w:t>
      </w:r>
      <w:r>
        <w:rPr>
          <w:rFonts w:hint="eastAsia" w:asciiTheme="minorEastAsia" w:hAnsiTheme="minorEastAsia" w:cstheme="minorEastAsia"/>
          <w:sz w:val="24"/>
          <w:szCs w:val="24"/>
        </w:rPr>
        <w:t>5.29</w:t>
      </w:r>
      <w:r>
        <w:rPr>
          <w:rFonts w:asciiTheme="minorEastAsia" w:hAnsiTheme="minorEastAsia" w:cstheme="minorEastAsia"/>
          <w:sz w:val="24"/>
          <w:szCs w:val="24"/>
        </w:rPr>
        <w:t>%；</w:t>
      </w:r>
      <w:r>
        <w:rPr>
          <w:rFonts w:hint="eastAsia" w:asciiTheme="minorEastAsia" w:hAnsiTheme="minorEastAsia" w:cstheme="minorEastAsia"/>
          <w:sz w:val="24"/>
          <w:szCs w:val="24"/>
        </w:rPr>
        <w:t>经济</w:t>
      </w:r>
      <w:r>
        <w:rPr>
          <w:rFonts w:asciiTheme="minorEastAsia" w:hAnsiTheme="minorEastAsia" w:cstheme="minorEastAsia"/>
          <w:sz w:val="24"/>
          <w:szCs w:val="24"/>
        </w:rPr>
        <w:t>学</w:t>
      </w:r>
      <w:r>
        <w:rPr>
          <w:rFonts w:hint="eastAsia" w:asciiTheme="minorEastAsia" w:hAnsiTheme="minorEastAsia" w:cstheme="minorEastAsia"/>
          <w:sz w:val="24"/>
          <w:szCs w:val="24"/>
        </w:rPr>
        <w:t>238</w:t>
      </w:r>
      <w:r>
        <w:rPr>
          <w:rFonts w:asciiTheme="minorEastAsia" w:hAnsiTheme="minorEastAsia" w:cstheme="minorEastAsia"/>
          <w:sz w:val="24"/>
          <w:szCs w:val="24"/>
        </w:rPr>
        <w:t>人，占本科生人数的</w:t>
      </w:r>
      <w:r>
        <w:rPr>
          <w:rFonts w:hint="eastAsia" w:asciiTheme="minorEastAsia" w:hAnsiTheme="minorEastAsia" w:cstheme="minorEastAsia"/>
          <w:sz w:val="24"/>
          <w:szCs w:val="24"/>
        </w:rPr>
        <w:t>4.90</w:t>
      </w:r>
      <w:r>
        <w:rPr>
          <w:rFonts w:asciiTheme="minorEastAsia" w:hAnsiTheme="minorEastAsia" w:cstheme="minorEastAsia"/>
          <w:sz w:val="24"/>
          <w:szCs w:val="24"/>
        </w:rPr>
        <w:t>%；</w:t>
      </w:r>
      <w:r>
        <w:rPr>
          <w:rFonts w:hint="eastAsia" w:asciiTheme="minorEastAsia" w:hAnsiTheme="minorEastAsia" w:cstheme="minorEastAsia"/>
          <w:sz w:val="24"/>
          <w:szCs w:val="24"/>
        </w:rPr>
        <w:t>文</w:t>
      </w:r>
      <w:r>
        <w:rPr>
          <w:rFonts w:asciiTheme="minorEastAsia" w:hAnsiTheme="minorEastAsia" w:cstheme="minorEastAsia"/>
          <w:sz w:val="24"/>
          <w:szCs w:val="24"/>
        </w:rPr>
        <w:t xml:space="preserve">学 </w:t>
      </w:r>
      <w:r>
        <w:rPr>
          <w:rFonts w:hint="eastAsia" w:asciiTheme="minorEastAsia" w:hAnsiTheme="minorEastAsia" w:cstheme="minorEastAsia"/>
          <w:sz w:val="24"/>
          <w:szCs w:val="24"/>
        </w:rPr>
        <w:t>169</w:t>
      </w:r>
      <w:r>
        <w:rPr>
          <w:rFonts w:asciiTheme="minorEastAsia" w:hAnsiTheme="minorEastAsia" w:cstheme="minorEastAsia"/>
          <w:sz w:val="24"/>
          <w:szCs w:val="24"/>
        </w:rPr>
        <w:t xml:space="preserve">人，占本科生人数的 </w:t>
      </w:r>
      <w:r>
        <w:rPr>
          <w:rFonts w:hint="eastAsia" w:asciiTheme="minorEastAsia" w:hAnsiTheme="minorEastAsia" w:cstheme="minorEastAsia"/>
          <w:sz w:val="24"/>
          <w:szCs w:val="24"/>
        </w:rPr>
        <w:t>3.48</w:t>
      </w:r>
      <w:r>
        <w:rPr>
          <w:rFonts w:asciiTheme="minorEastAsia" w:hAnsiTheme="minorEastAsia" w:cstheme="minorEastAsia"/>
          <w:sz w:val="24"/>
          <w:szCs w:val="24"/>
        </w:rPr>
        <w:t>%。（如图</w:t>
      </w:r>
      <w:r>
        <w:rPr>
          <w:rFonts w:hint="eastAsia" w:asciiTheme="minorEastAsia" w:hAnsiTheme="minorEastAsia" w:cstheme="minorEastAsia"/>
          <w:sz w:val="24"/>
          <w:szCs w:val="24"/>
        </w:rPr>
        <w:t>2-</w:t>
      </w:r>
      <w:r>
        <w:rPr>
          <w:rFonts w:asciiTheme="minorEastAsia" w:hAnsiTheme="minorEastAsia" w:cstheme="minorEastAsia"/>
          <w:sz w:val="24"/>
          <w:szCs w:val="24"/>
        </w:rPr>
        <w:t>3 江西服装学院全日制本科生在各学科门类中的分布所示）</w:t>
      </w:r>
    </w:p>
    <w:p>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drawing>
          <wp:inline distT="0" distB="0" distL="0" distR="0">
            <wp:extent cx="3859530" cy="1847850"/>
            <wp:effectExtent l="4445" t="4445" r="22225" b="14605"/>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center"/>
        <w:rPr>
          <w:rFonts w:asciiTheme="minorEastAsia" w:hAnsiTheme="minorEastAsia" w:cstheme="minorEastAsia"/>
          <w:szCs w:val="21"/>
        </w:rPr>
      </w:pPr>
      <w:r>
        <w:rPr>
          <w:rFonts w:hint="eastAsia" w:asciiTheme="minorEastAsia" w:hAnsiTheme="minorEastAsia" w:cstheme="minorEastAsia"/>
          <w:szCs w:val="21"/>
        </w:rPr>
        <w:t xml:space="preserve">图2-3 </w:t>
      </w:r>
      <w:r>
        <w:rPr>
          <w:rFonts w:asciiTheme="minorEastAsia" w:hAnsiTheme="minorEastAsia" w:cstheme="minorEastAsia"/>
          <w:szCs w:val="21"/>
        </w:rPr>
        <w:t>江西服装学院全日制本科生在各学科门类中的分布</w:t>
      </w:r>
    </w:p>
    <w:p>
      <w:pPr>
        <w:pStyle w:val="3"/>
        <w:spacing w:line="240" w:lineRule="auto"/>
        <w:ind w:left="0" w:firstLine="0" w:firstLineChars="0"/>
        <w:rPr>
          <w:rFonts w:ascii="黑体" w:hAnsi="黑体" w:cs="宋体"/>
          <w:b w:val="0"/>
          <w:bCs w:val="0"/>
          <w:snapToGrid/>
        </w:rPr>
      </w:pPr>
      <w:bookmarkStart w:id="68" w:name="_Toc465433473"/>
      <w:bookmarkStart w:id="69" w:name="_Toc465499579"/>
      <w:bookmarkStart w:id="70" w:name="_Toc469036828"/>
      <w:bookmarkStart w:id="71" w:name="_Toc8374"/>
      <w:bookmarkStart w:id="72" w:name="_Toc465498447"/>
      <w:bookmarkStart w:id="73" w:name="_Toc469900300"/>
      <w:bookmarkStart w:id="74" w:name="_Toc465671304"/>
      <w:r>
        <w:rPr>
          <w:rFonts w:ascii="黑体" w:hAnsi="黑体" w:cs="宋体"/>
          <w:b w:val="0"/>
          <w:bCs w:val="0"/>
          <w:snapToGrid/>
        </w:rPr>
        <w:t>（</w:t>
      </w:r>
      <w:r>
        <w:rPr>
          <w:rFonts w:hint="eastAsia" w:ascii="黑体" w:hAnsi="黑体" w:cs="宋体"/>
          <w:b w:val="0"/>
          <w:bCs w:val="0"/>
          <w:snapToGrid/>
        </w:rPr>
        <w:t>四</w:t>
      </w:r>
      <w:r>
        <w:rPr>
          <w:rFonts w:ascii="黑体" w:hAnsi="黑体" w:cs="宋体"/>
          <w:b w:val="0"/>
          <w:bCs w:val="0"/>
          <w:snapToGrid/>
        </w:rPr>
        <w:t>）</w:t>
      </w:r>
      <w:r>
        <w:rPr>
          <w:rFonts w:hint="eastAsia" w:ascii="黑体" w:hAnsi="黑体" w:cs="宋体"/>
          <w:b w:val="0"/>
          <w:bCs w:val="0"/>
          <w:snapToGrid/>
        </w:rPr>
        <w:t>本科生生源质量情况</w:t>
      </w:r>
      <w:bookmarkEnd w:id="68"/>
      <w:bookmarkEnd w:id="69"/>
      <w:bookmarkEnd w:id="70"/>
      <w:bookmarkEnd w:id="71"/>
      <w:bookmarkEnd w:id="72"/>
      <w:bookmarkEnd w:id="73"/>
      <w:bookmarkEnd w:id="74"/>
    </w:p>
    <w:p>
      <w:pPr>
        <w:spacing w:line="400" w:lineRule="exact"/>
        <w:ind w:firstLine="480" w:firstLineChars="200"/>
        <w:jc w:val="both"/>
        <w:rPr>
          <w:rFonts w:asciiTheme="minorEastAsia" w:hAnsiTheme="minorEastAsia" w:cstheme="minorEastAsia"/>
          <w:sz w:val="24"/>
          <w:szCs w:val="24"/>
        </w:rPr>
      </w:pPr>
      <w:bookmarkStart w:id="75" w:name="_Toc465433474"/>
      <w:bookmarkStart w:id="76" w:name="_Toc465417252"/>
      <w:bookmarkStart w:id="77" w:name="_Toc7481"/>
      <w:bookmarkStart w:id="78" w:name="_Toc465499580"/>
      <w:bookmarkStart w:id="79" w:name="_Toc465671305"/>
      <w:bookmarkStart w:id="80" w:name="_Toc465498448"/>
      <w:bookmarkStart w:id="81" w:name="_Toc378000167"/>
      <w:r>
        <w:rPr>
          <w:rFonts w:hint="eastAsia" w:asciiTheme="minorEastAsia" w:hAnsiTheme="minorEastAsia" w:cstheme="minorEastAsia"/>
          <w:sz w:val="24"/>
          <w:szCs w:val="24"/>
        </w:rPr>
        <w:t>2015年，学校本科生总招生1564人，其中本省生源597人，占38.2 % 。文科所有生源省份录取平均分超出所在批次最低控制线的平均值为12.63分；理科所有生源省份录取平均分超出所在批次最低控制线的平均值为11.74分。</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2015年，学校16个本科专业，面向江西、浙江、福建、新疆、黑龙江、西藏等27个省份招生的基础上，新增天津一个市招生，2015年招生省、市达到28个。2015年国家教育部下达学校本科招生执行计划数为1565人，实际报到1366人,报到率87.28%；另2014级少数民族预科生转入本科198人。</w:t>
      </w:r>
    </w:p>
    <w:p>
      <w:pPr>
        <w:pStyle w:val="2"/>
        <w:spacing w:before="0" w:after="0" w:line="240" w:lineRule="auto"/>
        <w:rPr>
          <w:rFonts w:ascii="黑体" w:hAnsi="黑体" w:eastAsia="黑体" w:cs="宋体"/>
          <w:b w:val="0"/>
          <w:bCs w:val="0"/>
          <w:snapToGrid w:val="0"/>
          <w:sz w:val="30"/>
          <w:szCs w:val="30"/>
        </w:rPr>
      </w:pPr>
      <w:bookmarkStart w:id="82" w:name="_Toc5406"/>
      <w:bookmarkStart w:id="83" w:name="_Toc469900301"/>
      <w:bookmarkStart w:id="84" w:name="_Toc469036829"/>
      <w:r>
        <w:rPr>
          <w:rFonts w:hint="eastAsia" w:ascii="黑体" w:hAnsi="黑体" w:eastAsia="黑体" w:cs="宋体"/>
          <w:b w:val="0"/>
          <w:bCs w:val="0"/>
          <w:snapToGrid w:val="0"/>
          <w:sz w:val="30"/>
          <w:szCs w:val="30"/>
        </w:rPr>
        <w:t>三、师资与教学条件</w:t>
      </w:r>
      <w:bookmarkEnd w:id="82"/>
      <w:bookmarkEnd w:id="83"/>
      <w:bookmarkEnd w:id="84"/>
    </w:p>
    <w:bookmarkEnd w:id="75"/>
    <w:bookmarkEnd w:id="76"/>
    <w:bookmarkEnd w:id="77"/>
    <w:bookmarkEnd w:id="78"/>
    <w:bookmarkEnd w:id="79"/>
    <w:bookmarkEnd w:id="80"/>
    <w:bookmarkEnd w:id="81"/>
    <w:p>
      <w:pPr>
        <w:pStyle w:val="3"/>
        <w:spacing w:line="240" w:lineRule="auto"/>
        <w:ind w:left="0" w:firstLine="0" w:firstLineChars="0"/>
        <w:rPr>
          <w:rFonts w:ascii="黑体" w:hAnsi="黑体" w:cs="宋体"/>
          <w:b w:val="0"/>
          <w:bCs w:val="0"/>
          <w:snapToGrid/>
        </w:rPr>
      </w:pPr>
      <w:bookmarkStart w:id="85" w:name="_Toc465417253"/>
      <w:bookmarkStart w:id="86" w:name="_Toc13738"/>
      <w:bookmarkStart w:id="87" w:name="_Toc378000168"/>
      <w:bookmarkStart w:id="88" w:name="_Toc469900302"/>
      <w:bookmarkStart w:id="89" w:name="_Toc469036830"/>
      <w:bookmarkStart w:id="90" w:name="_Toc3668"/>
      <w:bookmarkStart w:id="91" w:name="_Toc465671306"/>
      <w:bookmarkStart w:id="92" w:name="_Toc465499581"/>
      <w:bookmarkStart w:id="93" w:name="_Toc465433475"/>
      <w:bookmarkStart w:id="94" w:name="_Toc465498449"/>
      <w:r>
        <w:rPr>
          <w:rFonts w:hint="eastAsia" w:ascii="黑体" w:hAnsi="黑体" w:cs="宋体"/>
          <w:b w:val="0"/>
          <w:bCs w:val="0"/>
          <w:snapToGrid/>
        </w:rPr>
        <w:t>（一）师资队伍</w:t>
      </w:r>
      <w:bookmarkEnd w:id="85"/>
      <w:bookmarkEnd w:id="86"/>
      <w:bookmarkEnd w:id="87"/>
      <w:r>
        <w:rPr>
          <w:rFonts w:hint="eastAsia" w:ascii="黑体" w:hAnsi="黑体" w:cs="宋体"/>
          <w:b w:val="0"/>
          <w:bCs w:val="0"/>
          <w:snapToGrid/>
        </w:rPr>
        <w:t>数量与结构</w:t>
      </w:r>
      <w:bookmarkEnd w:id="88"/>
      <w:bookmarkEnd w:id="89"/>
      <w:bookmarkEnd w:id="90"/>
      <w:bookmarkEnd w:id="91"/>
      <w:bookmarkEnd w:id="92"/>
      <w:bookmarkEnd w:id="93"/>
      <w:bookmarkEnd w:id="94"/>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学校高度重视师资队伍建设，全面实施“人才强校”战略，按照引进和培养并重，激励与稳定并举的思路，</w:t>
      </w:r>
      <w:r>
        <w:rPr>
          <w:rFonts w:asciiTheme="minorEastAsia" w:hAnsiTheme="minorEastAsia" w:cstheme="minorEastAsia"/>
          <w:sz w:val="24"/>
          <w:szCs w:val="24"/>
        </w:rPr>
        <w:t>积极开展教学团队建设，不断加强中青年骨干教师培养</w:t>
      </w:r>
      <w:r>
        <w:rPr>
          <w:rFonts w:hint="eastAsia" w:asciiTheme="minorEastAsia" w:hAnsiTheme="minorEastAsia" w:cstheme="minorEastAsia"/>
          <w:sz w:val="24"/>
          <w:szCs w:val="24"/>
        </w:rPr>
        <w:t>和双师双能型教师培养</w:t>
      </w:r>
      <w:r>
        <w:rPr>
          <w:rFonts w:asciiTheme="minorEastAsia" w:hAnsiTheme="minorEastAsia" w:cstheme="minorEastAsia"/>
          <w:sz w:val="24"/>
          <w:szCs w:val="24"/>
        </w:rPr>
        <w:t>工作，</w:t>
      </w:r>
      <w:r>
        <w:rPr>
          <w:rFonts w:hint="eastAsia" w:asciiTheme="minorEastAsia" w:hAnsiTheme="minorEastAsia" w:cstheme="minorEastAsia"/>
          <w:sz w:val="24"/>
          <w:szCs w:val="24"/>
        </w:rPr>
        <w:t>优选聘用高校、企业行业兼职教师，不断优化结构、提升素质，</w:t>
      </w:r>
      <w:r>
        <w:rPr>
          <w:rFonts w:asciiTheme="minorEastAsia" w:hAnsiTheme="minorEastAsia" w:cstheme="minorEastAsia"/>
          <w:sz w:val="24"/>
          <w:szCs w:val="24"/>
        </w:rPr>
        <w:t>注重教师教学水平和科研能力的培养提高，建立了一支师德优良、结构比较合理、教学水平较高的教师队伍</w:t>
      </w:r>
      <w:bookmarkStart w:id="95" w:name="_Toc276891351"/>
      <w:r>
        <w:rPr>
          <w:rFonts w:hint="eastAsia" w:asciiTheme="minorEastAsia" w:hAnsiTheme="minorEastAsia" w:cstheme="minorEastAsia"/>
          <w:sz w:val="24"/>
          <w:szCs w:val="24"/>
        </w:rPr>
        <w:t>，满足了应用型人才培养需要。</w:t>
      </w:r>
      <w:bookmarkEnd w:id="95"/>
    </w:p>
    <w:p>
      <w:pPr>
        <w:pStyle w:val="5"/>
        <w:spacing w:before="0" w:after="0" w:line="240" w:lineRule="auto"/>
        <w:rPr>
          <w:rFonts w:ascii="黑体" w:hAnsi="黑体" w:eastAsia="黑体" w:cs="宋体"/>
          <w:bCs w:val="0"/>
          <w:sz w:val="24"/>
          <w:szCs w:val="24"/>
        </w:rPr>
      </w:pPr>
      <w:bookmarkStart w:id="96" w:name="_Toc465433476"/>
      <w:bookmarkStart w:id="97" w:name="_Toc465417254"/>
      <w:bookmarkStart w:id="98" w:name="_Toc433736583"/>
      <w:bookmarkStart w:id="99" w:name="_Toc465498450"/>
      <w:bookmarkStart w:id="100" w:name="_Toc465499582"/>
      <w:bookmarkStart w:id="101" w:name="_Toc465671307"/>
      <w:bookmarkStart w:id="102" w:name="_Toc14358"/>
      <w:bookmarkStart w:id="103" w:name="_Toc469900303"/>
      <w:bookmarkStart w:id="104" w:name="_Toc469036831"/>
      <w:r>
        <w:rPr>
          <w:rFonts w:ascii="黑体" w:hAnsi="黑体" w:eastAsia="黑体" w:cs="宋体"/>
          <w:bCs w:val="0"/>
          <w:sz w:val="24"/>
          <w:szCs w:val="24"/>
        </w:rPr>
        <w:t>1.</w:t>
      </w:r>
      <w:r>
        <w:rPr>
          <w:rFonts w:hint="eastAsia" w:ascii="黑体" w:hAnsi="黑体" w:eastAsia="黑体" w:cs="宋体"/>
          <w:bCs w:val="0"/>
          <w:sz w:val="24"/>
          <w:szCs w:val="24"/>
        </w:rPr>
        <w:t>师资队伍数量</w:t>
      </w:r>
      <w:bookmarkEnd w:id="96"/>
      <w:bookmarkEnd w:id="97"/>
      <w:bookmarkEnd w:id="98"/>
      <w:bookmarkEnd w:id="99"/>
      <w:bookmarkEnd w:id="100"/>
      <w:bookmarkEnd w:id="101"/>
      <w:bookmarkEnd w:id="102"/>
      <w:bookmarkEnd w:id="103"/>
      <w:bookmarkEnd w:id="104"/>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现有专任教师556人，外聘教师181人（折合90人），折合教师总数达到646人。</w:t>
      </w:r>
      <w:r>
        <w:rPr>
          <w:rFonts w:asciiTheme="minorEastAsia" w:hAnsiTheme="minorEastAsia" w:cstheme="minorEastAsia"/>
          <w:sz w:val="24"/>
          <w:szCs w:val="24"/>
        </w:rPr>
        <w:t>2015</w:t>
      </w:r>
      <w:r>
        <w:rPr>
          <w:rFonts w:hint="eastAsia" w:asciiTheme="minorEastAsia" w:hAnsiTheme="minorEastAsia" w:cstheme="minorEastAsia"/>
          <w:sz w:val="24"/>
          <w:szCs w:val="24"/>
        </w:rPr>
        <w:t>年，我们结合学校建设和发展情况及师资队伍现状，制定了《江西服装学院</w:t>
      </w:r>
      <w:r>
        <w:rPr>
          <w:rFonts w:asciiTheme="minorEastAsia" w:hAnsiTheme="minorEastAsia" w:cstheme="minorEastAsia"/>
          <w:sz w:val="24"/>
          <w:szCs w:val="24"/>
        </w:rPr>
        <w:t>2015</w:t>
      </w:r>
      <w:r>
        <w:rPr>
          <w:rFonts w:hint="eastAsia" w:asciiTheme="minorEastAsia" w:hAnsiTheme="minorEastAsia" w:cstheme="minorEastAsia"/>
          <w:sz w:val="24"/>
          <w:szCs w:val="24"/>
        </w:rPr>
        <w:t>年人才引进计划》。积极引进人才，不断充实教师队伍。</w:t>
      </w:r>
    </w:p>
    <w:p>
      <w:pPr>
        <w:pStyle w:val="5"/>
        <w:spacing w:before="0" w:after="0" w:line="240" w:lineRule="auto"/>
        <w:rPr>
          <w:rFonts w:ascii="黑体" w:hAnsi="黑体" w:eastAsia="黑体" w:cs="宋体"/>
          <w:bCs w:val="0"/>
          <w:sz w:val="24"/>
          <w:szCs w:val="24"/>
        </w:rPr>
      </w:pPr>
      <w:bookmarkStart w:id="105" w:name="_Toc465499583"/>
      <w:bookmarkStart w:id="106" w:name="_Toc465671308"/>
      <w:bookmarkStart w:id="107" w:name="_Toc28818"/>
      <w:bookmarkStart w:id="108" w:name="_Toc465498451"/>
      <w:bookmarkStart w:id="109" w:name="_Toc469036832"/>
      <w:bookmarkStart w:id="110" w:name="_Toc469900304"/>
      <w:bookmarkStart w:id="111" w:name="_Toc465417255"/>
      <w:bookmarkStart w:id="112" w:name="_Toc465433477"/>
      <w:bookmarkStart w:id="113" w:name="_Toc433736584"/>
      <w:r>
        <w:rPr>
          <w:rFonts w:ascii="黑体" w:hAnsi="黑体" w:eastAsia="黑体" w:cs="宋体"/>
          <w:bCs w:val="0"/>
          <w:sz w:val="24"/>
          <w:szCs w:val="24"/>
        </w:rPr>
        <w:t>2.</w:t>
      </w:r>
      <w:r>
        <w:rPr>
          <w:rFonts w:hint="eastAsia" w:ascii="黑体" w:hAnsi="黑体" w:eastAsia="黑体" w:cs="宋体"/>
          <w:bCs w:val="0"/>
          <w:sz w:val="24"/>
          <w:szCs w:val="24"/>
        </w:rPr>
        <w:t>师资队伍结构</w:t>
      </w:r>
      <w:bookmarkEnd w:id="105"/>
      <w:bookmarkEnd w:id="106"/>
      <w:bookmarkEnd w:id="107"/>
      <w:bookmarkEnd w:id="108"/>
      <w:bookmarkEnd w:id="109"/>
      <w:bookmarkEnd w:id="110"/>
      <w:bookmarkEnd w:id="111"/>
      <w:bookmarkEnd w:id="112"/>
      <w:bookmarkEnd w:id="113"/>
    </w:p>
    <w:p>
      <w:pPr>
        <w:spacing w:line="360" w:lineRule="auto"/>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 xml:space="preserve">从职称结构来看，专任教师中具有高级职称的占 </w:t>
      </w:r>
      <w:r>
        <w:rPr>
          <w:rFonts w:hint="eastAsia" w:asciiTheme="minorEastAsia" w:hAnsiTheme="minorEastAsia" w:cstheme="minorEastAsia"/>
          <w:sz w:val="24"/>
          <w:szCs w:val="24"/>
          <w:lang w:val="en-US" w:eastAsia="zh-CN"/>
        </w:rPr>
        <w:t>30.03</w:t>
      </w:r>
      <w:r>
        <w:rPr>
          <w:rFonts w:asciiTheme="minorEastAsia" w:hAnsiTheme="minorEastAsia" w:cstheme="minorEastAsia"/>
          <w:sz w:val="24"/>
          <w:szCs w:val="24"/>
        </w:rPr>
        <w:t>%，其中教授</w:t>
      </w:r>
      <w:r>
        <w:rPr>
          <w:rFonts w:hint="eastAsia" w:asciiTheme="minorEastAsia" w:hAnsiTheme="minorEastAsia" w:cstheme="minorEastAsia"/>
          <w:sz w:val="24"/>
          <w:szCs w:val="24"/>
        </w:rPr>
        <w:t>36</w:t>
      </w:r>
      <w:r>
        <w:rPr>
          <w:rFonts w:asciiTheme="minorEastAsia" w:hAnsiTheme="minorEastAsia" w:cstheme="minorEastAsia"/>
          <w:sz w:val="24"/>
          <w:szCs w:val="24"/>
        </w:rPr>
        <w:t>人，</w:t>
      </w:r>
      <w:bookmarkStart w:id="436" w:name="_GoBack"/>
      <w:bookmarkEnd w:id="436"/>
      <w:r>
        <w:rPr>
          <w:rFonts w:asciiTheme="minorEastAsia" w:hAnsiTheme="minorEastAsia" w:cstheme="minorEastAsia"/>
          <w:sz w:val="24"/>
          <w:szCs w:val="24"/>
        </w:rPr>
        <w:t>占</w:t>
      </w:r>
      <w:r>
        <w:rPr>
          <w:rFonts w:hint="eastAsia" w:asciiTheme="minorEastAsia" w:hAnsiTheme="minorEastAsia" w:cstheme="minorEastAsia"/>
          <w:sz w:val="24"/>
          <w:szCs w:val="24"/>
        </w:rPr>
        <w:t>6.53</w:t>
      </w:r>
      <w:r>
        <w:rPr>
          <w:rFonts w:asciiTheme="minorEastAsia" w:hAnsiTheme="minorEastAsia" w:cstheme="minorEastAsia"/>
          <w:sz w:val="24"/>
          <w:szCs w:val="24"/>
        </w:rPr>
        <w:t>%，副教授</w:t>
      </w:r>
      <w:r>
        <w:rPr>
          <w:rFonts w:hint="eastAsia" w:asciiTheme="minorEastAsia" w:hAnsiTheme="minorEastAsia" w:cstheme="minorEastAsia"/>
          <w:sz w:val="24"/>
          <w:szCs w:val="24"/>
        </w:rPr>
        <w:t>1</w:t>
      </w:r>
      <w:r>
        <w:rPr>
          <w:rFonts w:hint="eastAsia" w:asciiTheme="minorEastAsia" w:hAnsiTheme="minorEastAsia" w:cstheme="minorEastAsia"/>
          <w:sz w:val="24"/>
          <w:szCs w:val="24"/>
          <w:lang w:val="en-US" w:eastAsia="zh-CN"/>
        </w:rPr>
        <w:t>31</w:t>
      </w:r>
      <w:r>
        <w:rPr>
          <w:rFonts w:asciiTheme="minorEastAsia" w:hAnsiTheme="minorEastAsia" w:cstheme="minorEastAsia"/>
          <w:sz w:val="24"/>
          <w:szCs w:val="24"/>
        </w:rPr>
        <w:t>人，占</w:t>
      </w:r>
      <w:r>
        <w:rPr>
          <w:rFonts w:hint="eastAsia" w:asciiTheme="minorEastAsia" w:hAnsiTheme="minorEastAsia" w:cstheme="minorEastAsia"/>
          <w:sz w:val="24"/>
          <w:szCs w:val="24"/>
        </w:rPr>
        <w:t>23.</w:t>
      </w:r>
      <w:r>
        <w:rPr>
          <w:rFonts w:hint="eastAsia" w:asciiTheme="minorEastAsia" w:hAnsiTheme="minorEastAsia" w:cstheme="minorEastAsia"/>
          <w:sz w:val="24"/>
          <w:szCs w:val="24"/>
          <w:lang w:val="en-US" w:eastAsia="zh-CN"/>
        </w:rPr>
        <w:t>56</w:t>
      </w:r>
      <w:r>
        <w:rPr>
          <w:rFonts w:asciiTheme="minorEastAsia" w:hAnsiTheme="minorEastAsia" w:cstheme="minorEastAsia"/>
          <w:sz w:val="24"/>
          <w:szCs w:val="24"/>
        </w:rPr>
        <w:t>%；中级职称人数最多，共</w:t>
      </w:r>
      <w:r>
        <w:rPr>
          <w:rFonts w:hint="eastAsia" w:asciiTheme="minorEastAsia" w:hAnsiTheme="minorEastAsia" w:cstheme="minorEastAsia"/>
          <w:sz w:val="24"/>
          <w:szCs w:val="24"/>
        </w:rPr>
        <w:t>158</w:t>
      </w:r>
      <w:r>
        <w:rPr>
          <w:rFonts w:asciiTheme="minorEastAsia" w:hAnsiTheme="minorEastAsia" w:cstheme="minorEastAsia"/>
          <w:sz w:val="24"/>
          <w:szCs w:val="24"/>
        </w:rPr>
        <w:t>人，占</w:t>
      </w:r>
      <w:r>
        <w:rPr>
          <w:rFonts w:hint="eastAsia" w:asciiTheme="minorEastAsia" w:hAnsiTheme="minorEastAsia" w:cstheme="minorEastAsia"/>
          <w:sz w:val="24"/>
          <w:szCs w:val="24"/>
        </w:rPr>
        <w:t>28.68</w:t>
      </w:r>
      <w:r>
        <w:rPr>
          <w:rFonts w:asciiTheme="minorEastAsia" w:hAnsiTheme="minorEastAsia" w:cstheme="minorEastAsia"/>
          <w:sz w:val="24"/>
          <w:szCs w:val="24"/>
        </w:rPr>
        <w:t>%</w:t>
      </w:r>
      <w:r>
        <w:rPr>
          <w:rFonts w:hint="eastAsia" w:asciiTheme="minorEastAsia" w:hAnsiTheme="minorEastAsia" w:cstheme="minorEastAsia"/>
          <w:sz w:val="24"/>
          <w:szCs w:val="24"/>
        </w:rPr>
        <w:t>，</w:t>
      </w:r>
      <w:r>
        <w:rPr>
          <w:rFonts w:asciiTheme="minorEastAsia" w:hAnsiTheme="minorEastAsia" w:cstheme="minorEastAsia"/>
          <w:sz w:val="24"/>
          <w:szCs w:val="24"/>
        </w:rPr>
        <w:t>（如图</w:t>
      </w:r>
      <w:r>
        <w:rPr>
          <w:rFonts w:hint="eastAsia" w:asciiTheme="minorEastAsia" w:hAnsiTheme="minorEastAsia" w:cstheme="minorEastAsia"/>
          <w:sz w:val="24"/>
          <w:szCs w:val="24"/>
        </w:rPr>
        <w:t>3-1江西服装学院</w:t>
      </w:r>
      <w:r>
        <w:rPr>
          <w:rFonts w:asciiTheme="minorEastAsia" w:hAnsiTheme="minorEastAsia" w:cstheme="minorEastAsia"/>
          <w:sz w:val="24"/>
          <w:szCs w:val="24"/>
        </w:rPr>
        <w:t>专任教师职称情况分布图所示）。</w:t>
      </w:r>
    </w:p>
    <w:p>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drawing>
          <wp:inline distT="0" distB="0" distL="0" distR="0">
            <wp:extent cx="3811270" cy="1924685"/>
            <wp:effectExtent l="5080" t="5080" r="12700" b="13335"/>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jc w:val="center"/>
        <w:rPr>
          <w:rFonts w:asciiTheme="minorEastAsia" w:hAnsiTheme="minorEastAsia" w:cstheme="minorEastAsia"/>
          <w:szCs w:val="21"/>
        </w:rPr>
      </w:pPr>
      <w:r>
        <w:rPr>
          <w:rFonts w:hint="eastAsia" w:asciiTheme="minorEastAsia" w:hAnsiTheme="minorEastAsia" w:cstheme="minorEastAsia"/>
          <w:szCs w:val="21"/>
        </w:rPr>
        <w:t>图3-1江西服装学院专任教师职称情况分布</w:t>
      </w:r>
    </w:p>
    <w:p>
      <w:pPr>
        <w:spacing w:line="360" w:lineRule="auto"/>
        <w:ind w:firstLine="480" w:firstLineChars="200"/>
        <w:jc w:val="both"/>
        <w:rPr>
          <w:rFonts w:asciiTheme="minorEastAsia" w:hAnsiTheme="minorEastAsia" w:cstheme="minorEastAsia"/>
          <w:sz w:val="24"/>
          <w:szCs w:val="24"/>
        </w:rPr>
      </w:pPr>
      <w:bookmarkStart w:id="114" w:name="_Toc465417257"/>
      <w:bookmarkStart w:id="115" w:name="_Toc465671309"/>
      <w:bookmarkStart w:id="116" w:name="_Toc465499584"/>
      <w:bookmarkStart w:id="117" w:name="_Toc465433479"/>
      <w:bookmarkStart w:id="118" w:name="_Toc465498452"/>
      <w:bookmarkStart w:id="119" w:name="_Toc433736587"/>
      <w:r>
        <w:rPr>
          <w:rFonts w:asciiTheme="minorEastAsia" w:hAnsiTheme="minorEastAsia" w:cstheme="minorEastAsia"/>
          <w:sz w:val="24"/>
          <w:szCs w:val="24"/>
        </w:rPr>
        <w:t>从专任教师的学位结构来看，具有硕士学位的占大多数，有</w:t>
      </w:r>
      <w:r>
        <w:rPr>
          <w:rFonts w:hint="eastAsia" w:asciiTheme="minorEastAsia" w:hAnsiTheme="minorEastAsia" w:cstheme="minorEastAsia"/>
          <w:sz w:val="24"/>
          <w:szCs w:val="24"/>
        </w:rPr>
        <w:t>291</w:t>
      </w:r>
      <w:r>
        <w:rPr>
          <w:rFonts w:asciiTheme="minorEastAsia" w:hAnsiTheme="minorEastAsia" w:cstheme="minorEastAsia"/>
          <w:sz w:val="24"/>
          <w:szCs w:val="24"/>
        </w:rPr>
        <w:t>人，占全部专任教师的</w:t>
      </w:r>
      <w:r>
        <w:rPr>
          <w:rFonts w:hint="eastAsia" w:asciiTheme="minorEastAsia" w:hAnsiTheme="minorEastAsia" w:cstheme="minorEastAsia"/>
          <w:sz w:val="24"/>
          <w:szCs w:val="24"/>
        </w:rPr>
        <w:t>52.34</w:t>
      </w:r>
      <w:r>
        <w:rPr>
          <w:rFonts w:asciiTheme="minorEastAsia" w:hAnsiTheme="minorEastAsia" w:cstheme="minorEastAsia"/>
          <w:sz w:val="24"/>
          <w:szCs w:val="24"/>
        </w:rPr>
        <w:t>%；具有博士学位的专任教师有</w:t>
      </w:r>
      <w:r>
        <w:rPr>
          <w:rFonts w:hint="eastAsia" w:asciiTheme="minorEastAsia" w:hAnsiTheme="minorEastAsia" w:cstheme="minorEastAsia"/>
          <w:sz w:val="24"/>
          <w:szCs w:val="24"/>
        </w:rPr>
        <w:t>8</w:t>
      </w:r>
      <w:r>
        <w:rPr>
          <w:rFonts w:asciiTheme="minorEastAsia" w:hAnsiTheme="minorEastAsia" w:cstheme="minorEastAsia"/>
          <w:sz w:val="24"/>
          <w:szCs w:val="24"/>
        </w:rPr>
        <w:t>人，占</w:t>
      </w:r>
      <w:r>
        <w:rPr>
          <w:rFonts w:hint="eastAsia" w:asciiTheme="minorEastAsia" w:hAnsiTheme="minorEastAsia" w:cstheme="minorEastAsia"/>
          <w:sz w:val="24"/>
          <w:szCs w:val="24"/>
        </w:rPr>
        <w:t>1.44</w:t>
      </w:r>
      <w:r>
        <w:rPr>
          <w:rFonts w:asciiTheme="minorEastAsia" w:hAnsiTheme="minorEastAsia" w:cstheme="minorEastAsia"/>
          <w:sz w:val="24"/>
          <w:szCs w:val="24"/>
        </w:rPr>
        <w:t>%（如图</w:t>
      </w:r>
      <w:r>
        <w:rPr>
          <w:rFonts w:hint="eastAsia" w:asciiTheme="minorEastAsia" w:hAnsiTheme="minorEastAsia" w:cstheme="minorEastAsia"/>
          <w:sz w:val="24"/>
          <w:szCs w:val="24"/>
        </w:rPr>
        <w:t>3-2江西服装学院</w:t>
      </w:r>
      <w:r>
        <w:rPr>
          <w:rFonts w:asciiTheme="minorEastAsia" w:hAnsiTheme="minorEastAsia" w:cstheme="minorEastAsia"/>
          <w:sz w:val="24"/>
          <w:szCs w:val="24"/>
        </w:rPr>
        <w:t>专任教师学位情况分布图所示）。</w:t>
      </w:r>
    </w:p>
    <w:p>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drawing>
          <wp:inline distT="0" distB="0" distL="0" distR="0">
            <wp:extent cx="3869055" cy="2068830"/>
            <wp:effectExtent l="5080" t="5080" r="12065" b="2159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jc w:val="center"/>
        <w:rPr>
          <w:rFonts w:asciiTheme="minorEastAsia" w:hAnsiTheme="minorEastAsia" w:cstheme="minorEastAsia"/>
          <w:szCs w:val="21"/>
        </w:rPr>
      </w:pPr>
      <w:r>
        <w:rPr>
          <w:rFonts w:hint="eastAsia" w:asciiTheme="minorEastAsia" w:hAnsiTheme="minorEastAsia" w:cstheme="minorEastAsia"/>
          <w:szCs w:val="21"/>
        </w:rPr>
        <w:t>图3-2江西服装学院专任教师学位情况分布</w:t>
      </w:r>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从年龄结构来看，学校的专任教师逐步优化，从“两头大（小于 30 岁和大于 60 岁）、中间小”向“中间大、两头小”逐步过渡。目前年龄在31</w:t>
      </w:r>
      <w:r>
        <w:rPr>
          <w:rFonts w:hint="eastAsia" w:asciiTheme="minorEastAsia" w:hAnsiTheme="minorEastAsia" w:cstheme="minorEastAsia"/>
          <w:sz w:val="24"/>
          <w:szCs w:val="24"/>
        </w:rPr>
        <w:t>-</w:t>
      </w:r>
      <w:r>
        <w:rPr>
          <w:rFonts w:asciiTheme="minorEastAsia" w:hAnsiTheme="minorEastAsia" w:cstheme="minorEastAsia"/>
          <w:sz w:val="24"/>
          <w:szCs w:val="24"/>
        </w:rPr>
        <w:t>40 岁之间的专任教师有</w:t>
      </w:r>
      <w:r>
        <w:rPr>
          <w:rFonts w:hint="eastAsia" w:asciiTheme="minorEastAsia" w:hAnsiTheme="minorEastAsia" w:cstheme="minorEastAsia"/>
          <w:sz w:val="24"/>
          <w:szCs w:val="24"/>
        </w:rPr>
        <w:t>260</w:t>
      </w:r>
      <w:r>
        <w:rPr>
          <w:rFonts w:asciiTheme="minorEastAsia" w:hAnsiTheme="minorEastAsia" w:cstheme="minorEastAsia"/>
          <w:sz w:val="24"/>
          <w:szCs w:val="24"/>
        </w:rPr>
        <w:t>人，是学校的“主力军”</w:t>
      </w:r>
      <w:r>
        <w:rPr>
          <w:rFonts w:hint="eastAsia" w:asciiTheme="minorEastAsia" w:hAnsiTheme="minorEastAsia" w:cstheme="minorEastAsia"/>
          <w:sz w:val="24"/>
          <w:szCs w:val="24"/>
        </w:rPr>
        <w:t>，</w:t>
      </w:r>
      <w:r>
        <w:rPr>
          <w:rFonts w:asciiTheme="minorEastAsia" w:hAnsiTheme="minorEastAsia" w:cstheme="minorEastAsia"/>
          <w:sz w:val="24"/>
          <w:szCs w:val="24"/>
        </w:rPr>
        <w:t xml:space="preserve">占全部专任教师的 </w:t>
      </w:r>
      <w:r>
        <w:rPr>
          <w:rFonts w:hint="eastAsia" w:asciiTheme="minorEastAsia" w:hAnsiTheme="minorEastAsia" w:cstheme="minorEastAsia"/>
          <w:sz w:val="24"/>
          <w:szCs w:val="24"/>
        </w:rPr>
        <w:t>46.76</w:t>
      </w:r>
      <w:r>
        <w:rPr>
          <w:rFonts w:asciiTheme="minorEastAsia" w:hAnsiTheme="minorEastAsia" w:cstheme="minorEastAsia"/>
          <w:sz w:val="24"/>
          <w:szCs w:val="24"/>
        </w:rPr>
        <w:t>%（如图</w:t>
      </w:r>
      <w:r>
        <w:rPr>
          <w:rFonts w:hint="eastAsia" w:asciiTheme="minorEastAsia" w:hAnsiTheme="minorEastAsia" w:cstheme="minorEastAsia"/>
          <w:sz w:val="24"/>
          <w:szCs w:val="24"/>
        </w:rPr>
        <w:t>3-3</w:t>
      </w:r>
      <w:r>
        <w:rPr>
          <w:rFonts w:asciiTheme="minorEastAsia" w:hAnsiTheme="minorEastAsia" w:cstheme="minorEastAsia"/>
          <w:sz w:val="24"/>
          <w:szCs w:val="24"/>
        </w:rPr>
        <w:t xml:space="preserve"> 江西服装学院专任教师年龄结构分布图所示）</w:t>
      </w:r>
      <w:r>
        <w:rPr>
          <w:rFonts w:hint="eastAsia" w:asciiTheme="minorEastAsia" w:hAnsiTheme="minorEastAsia" w:cstheme="minorEastAsia"/>
          <w:sz w:val="24"/>
          <w:szCs w:val="24"/>
        </w:rPr>
        <w:t>；</w:t>
      </w:r>
      <w:r>
        <w:rPr>
          <w:rFonts w:asciiTheme="minorEastAsia" w:hAnsiTheme="minorEastAsia" w:cstheme="minorEastAsia"/>
          <w:sz w:val="24"/>
          <w:szCs w:val="24"/>
        </w:rPr>
        <w:t>其次是小于 30 岁的青年教师，共有</w:t>
      </w:r>
      <w:r>
        <w:rPr>
          <w:rFonts w:hint="eastAsia" w:asciiTheme="minorEastAsia" w:hAnsiTheme="minorEastAsia" w:cstheme="minorEastAsia"/>
          <w:sz w:val="24"/>
          <w:szCs w:val="24"/>
        </w:rPr>
        <w:t>181</w:t>
      </w:r>
      <w:r>
        <w:rPr>
          <w:rFonts w:asciiTheme="minorEastAsia" w:hAnsiTheme="minorEastAsia" w:cstheme="minorEastAsia"/>
          <w:sz w:val="24"/>
          <w:szCs w:val="24"/>
        </w:rPr>
        <w:t xml:space="preserve">人，占 </w:t>
      </w:r>
      <w:r>
        <w:rPr>
          <w:rFonts w:hint="eastAsia" w:asciiTheme="minorEastAsia" w:hAnsiTheme="minorEastAsia" w:cstheme="minorEastAsia"/>
          <w:sz w:val="24"/>
          <w:szCs w:val="24"/>
        </w:rPr>
        <w:t>32.55</w:t>
      </w:r>
      <w:r>
        <w:rPr>
          <w:rFonts w:asciiTheme="minorEastAsia" w:hAnsiTheme="minorEastAsia" w:cstheme="minorEastAsia"/>
          <w:sz w:val="24"/>
          <w:szCs w:val="24"/>
        </w:rPr>
        <w:t>%。</w:t>
      </w:r>
    </w:p>
    <w:p>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drawing>
          <wp:inline distT="0" distB="0" distL="0" distR="0">
            <wp:extent cx="3811270" cy="2560320"/>
            <wp:effectExtent l="4445" t="5080" r="13335" b="635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jc w:val="center"/>
        <w:rPr>
          <w:rFonts w:asciiTheme="minorEastAsia" w:hAnsiTheme="minorEastAsia" w:cstheme="minorEastAsia"/>
          <w:szCs w:val="21"/>
        </w:rPr>
      </w:pPr>
      <w:r>
        <w:rPr>
          <w:rFonts w:asciiTheme="minorEastAsia" w:hAnsiTheme="minorEastAsia" w:cstheme="minorEastAsia"/>
          <w:szCs w:val="21"/>
        </w:rPr>
        <w:t>图</w:t>
      </w:r>
      <w:r>
        <w:rPr>
          <w:rFonts w:hint="eastAsia" w:asciiTheme="minorEastAsia" w:hAnsiTheme="minorEastAsia" w:cstheme="minorEastAsia"/>
          <w:szCs w:val="21"/>
        </w:rPr>
        <w:t>3-3</w:t>
      </w:r>
      <w:r>
        <w:rPr>
          <w:rFonts w:asciiTheme="minorEastAsia" w:hAnsiTheme="minorEastAsia" w:cstheme="minorEastAsia"/>
          <w:szCs w:val="21"/>
        </w:rPr>
        <w:t xml:space="preserve"> 江西服装学院专任教师年龄结构分布</w:t>
      </w:r>
    </w:p>
    <w:p>
      <w:pPr>
        <w:spacing w:before="70" w:line="440" w:lineRule="exact"/>
        <w:ind w:firstLine="480" w:firstLineChars="200"/>
        <w:rPr>
          <w:rFonts w:asciiTheme="minorEastAsia" w:hAnsiTheme="minorEastAsia" w:cstheme="minorEastAsia"/>
          <w:sz w:val="24"/>
          <w:szCs w:val="24"/>
        </w:rPr>
      </w:pPr>
      <w:r>
        <w:rPr>
          <w:rFonts w:asciiTheme="minorEastAsia" w:hAnsiTheme="minorEastAsia" w:cstheme="minorEastAsia"/>
          <w:sz w:val="24"/>
          <w:szCs w:val="24"/>
        </w:rPr>
        <w:t>2015 学年学校成立教师发展中心，共组织</w:t>
      </w:r>
      <w:r>
        <w:rPr>
          <w:rFonts w:hint="eastAsia" w:asciiTheme="minorEastAsia" w:hAnsiTheme="minorEastAsia" w:cstheme="minorEastAsia"/>
          <w:sz w:val="24"/>
          <w:szCs w:val="24"/>
        </w:rPr>
        <w:t>43</w:t>
      </w:r>
      <w:r>
        <w:rPr>
          <w:rFonts w:asciiTheme="minorEastAsia" w:hAnsiTheme="minorEastAsia" w:cstheme="minorEastAsia"/>
          <w:sz w:val="24"/>
          <w:szCs w:val="24"/>
        </w:rPr>
        <w:t>次专任教师的教学能力培训及常规培训，参加人次为</w:t>
      </w:r>
      <w:r>
        <w:rPr>
          <w:rFonts w:hint="eastAsia" w:asciiTheme="minorEastAsia" w:hAnsiTheme="minorEastAsia" w:cstheme="minorEastAsia"/>
          <w:sz w:val="24"/>
          <w:szCs w:val="24"/>
        </w:rPr>
        <w:t>809、</w:t>
      </w:r>
      <w:r>
        <w:rPr>
          <w:rFonts w:asciiTheme="minorEastAsia" w:hAnsiTheme="minorEastAsia" w:cstheme="minorEastAsia"/>
          <w:sz w:val="24"/>
          <w:szCs w:val="24"/>
        </w:rPr>
        <w:t>教师创新创业专题培训</w:t>
      </w:r>
      <w:r>
        <w:rPr>
          <w:rFonts w:hint="eastAsia" w:asciiTheme="minorEastAsia" w:hAnsiTheme="minorEastAsia" w:cstheme="minorEastAsia"/>
          <w:sz w:val="24"/>
          <w:szCs w:val="24"/>
        </w:rPr>
        <w:t>3次，参加人次为40，</w:t>
      </w:r>
      <w:r>
        <w:rPr>
          <w:rFonts w:asciiTheme="minorEastAsia" w:hAnsiTheme="minorEastAsia" w:cstheme="minorEastAsia"/>
          <w:sz w:val="24"/>
          <w:szCs w:val="24"/>
        </w:rPr>
        <w:t>为提升学校教师的整体教学能力和水平做出贡献。在</w:t>
      </w:r>
      <w:r>
        <w:rPr>
          <w:rFonts w:hint="eastAsia" w:asciiTheme="minorEastAsia" w:hAnsiTheme="minorEastAsia" w:cstheme="minorEastAsia"/>
          <w:sz w:val="24"/>
          <w:szCs w:val="24"/>
        </w:rPr>
        <w:t>2016年教师王鸿霖、赖依萍分别荣获“全国服装制版师”大赛十佳第一名和第四名；教师付志臣荣获“中国轻纺城杯”2016中国国际时装创意设计大赛金奖；教师王智沛荣获首届青山湖杯创意服装设计大赛金奖；章华霞荣获“第二届全省高校青年教师教学竞赛”工科组三等奖，教师张涛获文科组优胜奖</w:t>
      </w:r>
      <w:r>
        <w:rPr>
          <w:rFonts w:asciiTheme="minorEastAsia" w:hAnsiTheme="minorEastAsia" w:cstheme="minorEastAsia"/>
          <w:sz w:val="24"/>
          <w:szCs w:val="24"/>
        </w:rPr>
        <w:t>（如</w:t>
      </w:r>
      <w:r>
        <w:rPr>
          <w:rFonts w:hint="eastAsia" w:asciiTheme="minorEastAsia" w:hAnsiTheme="minorEastAsia" w:cstheme="minorEastAsia"/>
          <w:sz w:val="24"/>
          <w:szCs w:val="24"/>
        </w:rPr>
        <w:t>表3-1</w:t>
      </w:r>
      <w:r>
        <w:rPr>
          <w:rFonts w:asciiTheme="minorEastAsia" w:hAnsiTheme="minorEastAsia" w:cstheme="minorEastAsia"/>
          <w:sz w:val="24"/>
          <w:szCs w:val="24"/>
        </w:rPr>
        <w:t xml:space="preserve"> 江西服装学院专任教师学科及专业类赛事获奖名单所示）</w:t>
      </w:r>
      <w:r>
        <w:rPr>
          <w:rFonts w:hint="eastAsia" w:asciiTheme="minorEastAsia" w:hAnsiTheme="minorEastAsia" w:cstheme="minorEastAsia"/>
          <w:sz w:val="24"/>
          <w:szCs w:val="24"/>
        </w:rPr>
        <w:t>。</w:t>
      </w:r>
    </w:p>
    <w:p>
      <w:pPr>
        <w:jc w:val="center"/>
        <w:rPr>
          <w:rFonts w:asciiTheme="minorEastAsia" w:hAnsiTheme="minorEastAsia" w:cstheme="minorEastAsia"/>
          <w:szCs w:val="21"/>
        </w:rPr>
      </w:pPr>
      <w:r>
        <w:rPr>
          <w:rFonts w:hint="eastAsia" w:asciiTheme="minorEastAsia" w:hAnsiTheme="minorEastAsia" w:cstheme="minorEastAsia"/>
          <w:szCs w:val="21"/>
        </w:rPr>
        <w:t>表3-1</w:t>
      </w:r>
      <w:r>
        <w:rPr>
          <w:rFonts w:asciiTheme="minorEastAsia" w:hAnsiTheme="minorEastAsia" w:cstheme="minorEastAsia"/>
          <w:szCs w:val="21"/>
        </w:rPr>
        <w:t xml:space="preserve"> 江西服装学院专任教师学科及专业类赛事获奖名单</w:t>
      </w:r>
    </w:p>
    <w:tbl>
      <w:tblPr>
        <w:tblStyle w:val="15"/>
        <w:tblW w:w="7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134"/>
        <w:gridCol w:w="48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51"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序号</w:t>
            </w:r>
          </w:p>
        </w:tc>
        <w:tc>
          <w:tcPr>
            <w:tcW w:w="1134"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教师姓名</w:t>
            </w:r>
          </w:p>
        </w:tc>
        <w:tc>
          <w:tcPr>
            <w:tcW w:w="4836"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学科专业赛事名称</w:t>
            </w:r>
          </w:p>
        </w:tc>
        <w:tc>
          <w:tcPr>
            <w:tcW w:w="1276"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51"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1</w:t>
            </w:r>
          </w:p>
        </w:tc>
        <w:tc>
          <w:tcPr>
            <w:tcW w:w="1134"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王鸿霖</w:t>
            </w:r>
          </w:p>
        </w:tc>
        <w:tc>
          <w:tcPr>
            <w:tcW w:w="483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“全国服装制版师”大赛</w:t>
            </w:r>
          </w:p>
        </w:tc>
        <w:tc>
          <w:tcPr>
            <w:tcW w:w="127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第一名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51"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2</w:t>
            </w:r>
          </w:p>
        </w:tc>
        <w:tc>
          <w:tcPr>
            <w:tcW w:w="1134"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赖依萍</w:t>
            </w:r>
          </w:p>
        </w:tc>
        <w:tc>
          <w:tcPr>
            <w:tcW w:w="483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“全国服装制版师”大赛</w:t>
            </w:r>
          </w:p>
        </w:tc>
        <w:tc>
          <w:tcPr>
            <w:tcW w:w="127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第四名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51"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3</w:t>
            </w:r>
          </w:p>
        </w:tc>
        <w:tc>
          <w:tcPr>
            <w:tcW w:w="1134"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付志臣</w:t>
            </w:r>
          </w:p>
        </w:tc>
        <w:tc>
          <w:tcPr>
            <w:tcW w:w="483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2016中国国际时装创意设计大赛</w:t>
            </w:r>
          </w:p>
        </w:tc>
        <w:tc>
          <w:tcPr>
            <w:tcW w:w="127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金奖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51"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4</w:t>
            </w:r>
          </w:p>
        </w:tc>
        <w:tc>
          <w:tcPr>
            <w:tcW w:w="1134"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付志臣</w:t>
            </w:r>
          </w:p>
        </w:tc>
        <w:tc>
          <w:tcPr>
            <w:tcW w:w="4836" w:type="dxa"/>
            <w:vAlign w:val="center"/>
          </w:tcPr>
          <w:p>
            <w:pPr>
              <w:spacing w:line="400" w:lineRule="exact"/>
              <w:jc w:val="center"/>
              <w:rPr>
                <w:rFonts w:asciiTheme="minorEastAsia" w:hAnsiTheme="minorEastAsia" w:cstheme="minorEastAsia"/>
                <w:szCs w:val="21"/>
              </w:rPr>
            </w:pPr>
            <w:r>
              <w:rPr>
                <w:rFonts w:hint="eastAsia" w:ascii="Segoe UI" w:hAnsi="Segoe UI" w:cs="Segoe UI"/>
                <w:color w:val="333333"/>
              </w:rPr>
              <w:t>“</w:t>
            </w:r>
            <w:r>
              <w:rPr>
                <w:rFonts w:ascii="Segoe UI" w:hAnsi="Segoe UI" w:cs="Segoe UI"/>
                <w:color w:val="333333"/>
              </w:rPr>
              <w:t>迪尚</w:t>
            </w:r>
            <w:r>
              <w:rPr>
                <w:rFonts w:hint="eastAsia" w:ascii="Segoe UI" w:hAnsi="Segoe UI" w:cs="Segoe UI"/>
                <w:color w:val="333333"/>
              </w:rPr>
              <w:t>”</w:t>
            </w:r>
            <w:r>
              <w:rPr>
                <w:rFonts w:ascii="Segoe UI" w:hAnsi="Segoe UI" w:cs="Segoe UI"/>
                <w:color w:val="333333"/>
              </w:rPr>
              <w:t>第十届中国时装设计大赛成果奖</w:t>
            </w:r>
          </w:p>
        </w:tc>
        <w:tc>
          <w:tcPr>
            <w:tcW w:w="127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二等奖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51"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5</w:t>
            </w:r>
          </w:p>
        </w:tc>
        <w:tc>
          <w:tcPr>
            <w:tcW w:w="1134"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王智沛</w:t>
            </w:r>
          </w:p>
        </w:tc>
        <w:tc>
          <w:tcPr>
            <w:tcW w:w="483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首届青山湖杯创意服装设计大赛</w:t>
            </w:r>
          </w:p>
        </w:tc>
        <w:tc>
          <w:tcPr>
            <w:tcW w:w="127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金奖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51"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6</w:t>
            </w:r>
          </w:p>
        </w:tc>
        <w:tc>
          <w:tcPr>
            <w:tcW w:w="1134"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黄淑娴</w:t>
            </w:r>
          </w:p>
        </w:tc>
        <w:tc>
          <w:tcPr>
            <w:tcW w:w="483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“中时OFD杯”第六届中国服装设计师生作品大赛</w:t>
            </w:r>
          </w:p>
        </w:tc>
        <w:tc>
          <w:tcPr>
            <w:tcW w:w="127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 xml:space="preserve">铜奖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51"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7</w:t>
            </w:r>
          </w:p>
        </w:tc>
        <w:tc>
          <w:tcPr>
            <w:tcW w:w="1134"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章华霞</w:t>
            </w:r>
          </w:p>
        </w:tc>
        <w:tc>
          <w:tcPr>
            <w:tcW w:w="483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第二届全省高校青年教师教学竞赛工科组</w:t>
            </w:r>
          </w:p>
        </w:tc>
        <w:tc>
          <w:tcPr>
            <w:tcW w:w="127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51"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8</w:t>
            </w:r>
          </w:p>
        </w:tc>
        <w:tc>
          <w:tcPr>
            <w:tcW w:w="1134"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张涛</w:t>
            </w:r>
          </w:p>
        </w:tc>
        <w:tc>
          <w:tcPr>
            <w:tcW w:w="483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第二届全省高校青年教师教学竞赛文科组</w:t>
            </w:r>
          </w:p>
        </w:tc>
        <w:tc>
          <w:tcPr>
            <w:tcW w:w="1276"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优胜奖</w:t>
            </w:r>
          </w:p>
        </w:tc>
      </w:tr>
    </w:tbl>
    <w:p>
      <w:pPr>
        <w:pStyle w:val="5"/>
        <w:spacing w:before="0" w:after="0" w:line="240" w:lineRule="auto"/>
        <w:rPr>
          <w:rFonts w:ascii="黑体" w:hAnsi="黑体" w:eastAsia="黑体" w:cs="宋体"/>
          <w:bCs w:val="0"/>
          <w:sz w:val="24"/>
          <w:szCs w:val="24"/>
        </w:rPr>
      </w:pPr>
      <w:bookmarkStart w:id="120" w:name="_Toc469036833"/>
      <w:bookmarkStart w:id="121" w:name="_Toc469900305"/>
      <w:bookmarkStart w:id="122" w:name="_Toc1033"/>
      <w:r>
        <w:rPr>
          <w:rFonts w:hint="eastAsia" w:ascii="黑体" w:hAnsi="黑体" w:eastAsia="黑体" w:cs="宋体"/>
          <w:bCs w:val="0"/>
          <w:sz w:val="24"/>
          <w:szCs w:val="24"/>
        </w:rPr>
        <w:t>3</w:t>
      </w:r>
      <w:r>
        <w:rPr>
          <w:rFonts w:ascii="黑体" w:hAnsi="黑体" w:eastAsia="黑体" w:cs="宋体"/>
          <w:bCs w:val="0"/>
          <w:sz w:val="24"/>
          <w:szCs w:val="24"/>
        </w:rPr>
        <w:t>.生师比</w:t>
      </w:r>
      <w:bookmarkEnd w:id="120"/>
      <w:bookmarkEnd w:id="121"/>
      <w:bookmarkEnd w:id="122"/>
      <w:r>
        <w:rPr>
          <w:rFonts w:ascii="黑体" w:hAnsi="黑体" w:eastAsia="黑体" w:cs="宋体"/>
          <w:bCs w:val="0"/>
          <w:sz w:val="24"/>
          <w:szCs w:val="24"/>
        </w:rPr>
        <w:t xml:space="preserve"> </w:t>
      </w:r>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根据教育部普通高等院校本科教学工作评估指标关于新建民办院校生师比计算办法，我校</w:t>
      </w:r>
      <w:r>
        <w:rPr>
          <w:rFonts w:hint="eastAsia" w:asciiTheme="minorEastAsia" w:hAnsiTheme="minorEastAsia" w:cstheme="minorEastAsia"/>
          <w:sz w:val="24"/>
          <w:szCs w:val="24"/>
        </w:rPr>
        <w:t>全日制在校生11613人，教师</w:t>
      </w:r>
      <w:r>
        <w:rPr>
          <w:rFonts w:asciiTheme="minorEastAsia" w:hAnsiTheme="minorEastAsia" w:cstheme="minorEastAsia"/>
          <w:sz w:val="24"/>
          <w:szCs w:val="24"/>
        </w:rPr>
        <w:t>总数</w:t>
      </w:r>
      <w:r>
        <w:rPr>
          <w:rFonts w:hint="eastAsia" w:asciiTheme="minorEastAsia" w:hAnsiTheme="minorEastAsia" w:cstheme="minorEastAsia"/>
          <w:sz w:val="24"/>
          <w:szCs w:val="24"/>
        </w:rPr>
        <w:t>646人，生师比17.98:1</w:t>
      </w:r>
      <w:r>
        <w:rPr>
          <w:rFonts w:asciiTheme="minorEastAsia" w:hAnsiTheme="minorEastAsia" w:cstheme="minorEastAsia"/>
          <w:sz w:val="24"/>
          <w:szCs w:val="24"/>
        </w:rPr>
        <w:t>。</w:t>
      </w:r>
    </w:p>
    <w:p>
      <w:pPr>
        <w:pStyle w:val="3"/>
        <w:spacing w:line="240" w:lineRule="auto"/>
        <w:ind w:left="0" w:firstLine="0" w:firstLineChars="0"/>
        <w:rPr>
          <w:rFonts w:ascii="黑体" w:hAnsi="黑体" w:cs="宋体"/>
          <w:b w:val="0"/>
          <w:bCs w:val="0"/>
          <w:snapToGrid/>
        </w:rPr>
      </w:pPr>
      <w:bookmarkStart w:id="123" w:name="_Toc14418"/>
      <w:bookmarkStart w:id="124" w:name="_Toc469900306"/>
      <w:bookmarkStart w:id="125" w:name="_Toc469036834"/>
      <w:r>
        <w:rPr>
          <w:rFonts w:hint="eastAsia" w:ascii="黑体" w:hAnsi="黑体" w:cs="宋体"/>
          <w:b w:val="0"/>
          <w:bCs w:val="0"/>
          <w:snapToGrid/>
        </w:rPr>
        <w:t>（二）本科课程主讲教师情况</w:t>
      </w:r>
      <w:bookmarkEnd w:id="114"/>
      <w:bookmarkEnd w:id="115"/>
      <w:bookmarkEnd w:id="116"/>
      <w:bookmarkEnd w:id="117"/>
      <w:bookmarkEnd w:id="118"/>
      <w:bookmarkEnd w:id="119"/>
      <w:bookmarkEnd w:id="123"/>
      <w:bookmarkEnd w:id="124"/>
      <w:bookmarkEnd w:id="125"/>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我校 2015-2016 学年学校共开设</w:t>
      </w:r>
      <w:r>
        <w:rPr>
          <w:rFonts w:hint="eastAsia" w:asciiTheme="minorEastAsia" w:hAnsiTheme="minorEastAsia" w:cstheme="minorEastAsia"/>
          <w:sz w:val="24"/>
          <w:szCs w:val="24"/>
        </w:rPr>
        <w:t>386</w:t>
      </w:r>
      <w:r>
        <w:rPr>
          <w:rFonts w:asciiTheme="minorEastAsia" w:hAnsiTheme="minorEastAsia" w:cstheme="minorEastAsia"/>
          <w:sz w:val="24"/>
          <w:szCs w:val="24"/>
        </w:rPr>
        <w:t>门本科课程，本科课程总门次为</w:t>
      </w:r>
      <w:r>
        <w:rPr>
          <w:rFonts w:hint="eastAsia" w:asciiTheme="minorEastAsia" w:hAnsiTheme="minorEastAsia" w:cstheme="minorEastAsia"/>
          <w:sz w:val="24"/>
          <w:szCs w:val="24"/>
        </w:rPr>
        <w:t>1663</w:t>
      </w:r>
      <w:r>
        <w:rPr>
          <w:rFonts w:asciiTheme="minorEastAsia" w:hAnsiTheme="minorEastAsia" w:cstheme="minorEastAsia"/>
          <w:sz w:val="24"/>
          <w:szCs w:val="24"/>
        </w:rPr>
        <w:t>。我校专任教师中正高级教授</w:t>
      </w:r>
      <w:r>
        <w:rPr>
          <w:rFonts w:hint="eastAsia" w:asciiTheme="minorEastAsia" w:hAnsiTheme="minorEastAsia" w:cstheme="minorEastAsia"/>
          <w:sz w:val="24"/>
          <w:szCs w:val="24"/>
        </w:rPr>
        <w:t>36</w:t>
      </w:r>
      <w:r>
        <w:rPr>
          <w:rFonts w:asciiTheme="minorEastAsia" w:hAnsiTheme="minorEastAsia" w:cstheme="minorEastAsia"/>
          <w:sz w:val="24"/>
          <w:szCs w:val="24"/>
        </w:rPr>
        <w:t>人，主讲本科课程的正高级教授</w:t>
      </w:r>
      <w:r>
        <w:rPr>
          <w:rFonts w:hint="eastAsia" w:asciiTheme="minorEastAsia" w:hAnsiTheme="minorEastAsia" w:cstheme="minorEastAsia"/>
          <w:sz w:val="24"/>
          <w:szCs w:val="24"/>
        </w:rPr>
        <w:t>10</w:t>
      </w:r>
      <w:r>
        <w:rPr>
          <w:rFonts w:asciiTheme="minorEastAsia" w:hAnsiTheme="minorEastAsia" w:cstheme="minorEastAsia"/>
          <w:sz w:val="24"/>
          <w:szCs w:val="24"/>
        </w:rPr>
        <w:t>人，主讲本科课程的正高级教授比例为</w:t>
      </w:r>
      <w:r>
        <w:rPr>
          <w:rFonts w:hint="eastAsia" w:asciiTheme="minorEastAsia" w:hAnsiTheme="minorEastAsia" w:cstheme="minorEastAsia"/>
          <w:sz w:val="24"/>
          <w:szCs w:val="24"/>
        </w:rPr>
        <w:t>27.78</w:t>
      </w:r>
      <w:r>
        <w:rPr>
          <w:rFonts w:asciiTheme="minorEastAsia" w:hAnsiTheme="minorEastAsia" w:cstheme="minorEastAsia"/>
          <w:sz w:val="24"/>
          <w:szCs w:val="24"/>
        </w:rPr>
        <w:t>%</w:t>
      </w:r>
      <w:r>
        <w:rPr>
          <w:rFonts w:hint="eastAsia" w:asciiTheme="minorEastAsia" w:hAnsiTheme="minorEastAsia" w:cstheme="minorEastAsia"/>
          <w:sz w:val="24"/>
          <w:szCs w:val="24"/>
        </w:rPr>
        <w:t>；专任教师中副高级教授127人，主讲本科课程的正高级教授82人，主讲本科课程的正高级教授比例为64.57%；</w:t>
      </w:r>
      <w:r>
        <w:rPr>
          <w:rFonts w:asciiTheme="minorEastAsia" w:hAnsiTheme="minorEastAsia" w:cstheme="minorEastAsia"/>
          <w:sz w:val="24"/>
          <w:szCs w:val="24"/>
        </w:rPr>
        <w:t>。专任教师讲授本科课程的总门次</w:t>
      </w:r>
      <w:r>
        <w:rPr>
          <w:rFonts w:hint="eastAsia" w:asciiTheme="minorEastAsia" w:hAnsiTheme="minorEastAsia" w:cstheme="minorEastAsia"/>
          <w:sz w:val="24"/>
          <w:szCs w:val="24"/>
        </w:rPr>
        <w:t>1404</w:t>
      </w:r>
      <w:r>
        <w:rPr>
          <w:rFonts w:asciiTheme="minorEastAsia" w:hAnsiTheme="minorEastAsia" w:cstheme="minorEastAsia"/>
          <w:sz w:val="24"/>
          <w:szCs w:val="24"/>
        </w:rPr>
        <w:t>，其中正高级教授讲授本科课程</w:t>
      </w:r>
      <w:r>
        <w:rPr>
          <w:rFonts w:hint="eastAsia" w:asciiTheme="minorEastAsia" w:hAnsiTheme="minorEastAsia" w:cstheme="minorEastAsia"/>
          <w:sz w:val="24"/>
          <w:szCs w:val="24"/>
        </w:rPr>
        <w:t>62</w:t>
      </w:r>
      <w:r>
        <w:rPr>
          <w:rFonts w:asciiTheme="minorEastAsia" w:hAnsiTheme="minorEastAsia" w:cstheme="minorEastAsia"/>
          <w:sz w:val="24"/>
          <w:szCs w:val="24"/>
        </w:rPr>
        <w:t>门 次，占总门次的</w:t>
      </w:r>
      <w:r>
        <w:rPr>
          <w:rFonts w:hint="eastAsia" w:asciiTheme="minorEastAsia" w:hAnsiTheme="minorEastAsia" w:cstheme="minorEastAsia"/>
          <w:sz w:val="24"/>
          <w:szCs w:val="24"/>
        </w:rPr>
        <w:t>4.42</w:t>
      </w:r>
      <w:r>
        <w:rPr>
          <w:rFonts w:asciiTheme="minorEastAsia" w:hAnsiTheme="minorEastAsia" w:cstheme="minorEastAsia"/>
          <w:sz w:val="24"/>
          <w:szCs w:val="24"/>
        </w:rPr>
        <w:t>%</w:t>
      </w:r>
      <w:r>
        <w:rPr>
          <w:rFonts w:hint="eastAsia" w:asciiTheme="minorEastAsia" w:hAnsiTheme="minorEastAsia" w:cstheme="minorEastAsia"/>
          <w:sz w:val="24"/>
          <w:szCs w:val="24"/>
        </w:rPr>
        <w:t>；副高级教授讲授本科课程421门次，占总门次的29.99%</w:t>
      </w:r>
      <w:r>
        <w:rPr>
          <w:rFonts w:asciiTheme="minorEastAsia" w:hAnsiTheme="minorEastAsia" w:cstheme="minorEastAsia"/>
          <w:sz w:val="24"/>
          <w:szCs w:val="24"/>
        </w:rPr>
        <w:t>（如图</w:t>
      </w:r>
      <w:r>
        <w:rPr>
          <w:rFonts w:hint="eastAsia" w:asciiTheme="minorEastAsia" w:hAnsiTheme="minorEastAsia" w:cstheme="minorEastAsia"/>
          <w:sz w:val="24"/>
          <w:szCs w:val="24"/>
        </w:rPr>
        <w:t>3-4江西服装学院</w:t>
      </w:r>
      <w:r>
        <w:rPr>
          <w:rFonts w:asciiTheme="minorEastAsia" w:hAnsiTheme="minorEastAsia" w:cstheme="minorEastAsia"/>
          <w:sz w:val="24"/>
          <w:szCs w:val="24"/>
        </w:rPr>
        <w:t>2015-2016 学年专任教师讲授本科课程门次统计所示）</w:t>
      </w:r>
      <w:r>
        <w:rPr>
          <w:rFonts w:hint="eastAsia" w:asciiTheme="minorEastAsia" w:hAnsiTheme="minorEastAsia" w:cstheme="minorEastAsia"/>
          <w:sz w:val="24"/>
          <w:szCs w:val="24"/>
        </w:rPr>
        <w:t>。</w:t>
      </w:r>
    </w:p>
    <w:p>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drawing>
          <wp:inline distT="0" distB="0" distL="0" distR="0">
            <wp:extent cx="3840480" cy="2271395"/>
            <wp:effectExtent l="4445" t="4445" r="22225" b="1016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jc w:val="center"/>
        <w:rPr>
          <w:rFonts w:asciiTheme="minorEastAsia" w:hAnsiTheme="minorEastAsia" w:cstheme="minorEastAsia"/>
          <w:szCs w:val="21"/>
        </w:rPr>
      </w:pPr>
      <w:bookmarkStart w:id="126" w:name="_Toc433736588"/>
      <w:bookmarkStart w:id="127" w:name="_Toc465417258"/>
      <w:bookmarkStart w:id="128" w:name="_Toc465671310"/>
      <w:bookmarkStart w:id="129" w:name="_Toc465433482"/>
      <w:bookmarkStart w:id="130" w:name="_Toc465498453"/>
      <w:bookmarkStart w:id="131" w:name="_Toc465499585"/>
      <w:r>
        <w:rPr>
          <w:rFonts w:asciiTheme="minorEastAsia" w:hAnsiTheme="minorEastAsia" w:cstheme="minorEastAsia"/>
          <w:szCs w:val="21"/>
        </w:rPr>
        <w:t>图</w:t>
      </w:r>
      <w:r>
        <w:rPr>
          <w:rFonts w:hint="eastAsia" w:asciiTheme="minorEastAsia" w:hAnsiTheme="minorEastAsia" w:cstheme="minorEastAsia"/>
          <w:szCs w:val="21"/>
        </w:rPr>
        <w:t>3-4江西服装学院</w:t>
      </w:r>
      <w:r>
        <w:rPr>
          <w:rFonts w:asciiTheme="minorEastAsia" w:hAnsiTheme="minorEastAsia" w:cstheme="minorEastAsia"/>
          <w:szCs w:val="21"/>
        </w:rPr>
        <w:t>2015-2016 学年专任教师讲授本科课程门次统计</w:t>
      </w:r>
    </w:p>
    <w:p>
      <w:pPr>
        <w:pStyle w:val="3"/>
        <w:spacing w:line="240" w:lineRule="auto"/>
        <w:ind w:left="0" w:firstLine="0" w:firstLineChars="0"/>
        <w:rPr>
          <w:rFonts w:ascii="黑体" w:hAnsi="黑体" w:cs="宋体"/>
          <w:b w:val="0"/>
          <w:bCs w:val="0"/>
          <w:snapToGrid/>
        </w:rPr>
      </w:pPr>
      <w:bookmarkStart w:id="132" w:name="_Toc7959"/>
      <w:bookmarkStart w:id="133" w:name="_Toc469900307"/>
      <w:bookmarkStart w:id="134" w:name="_Toc469036835"/>
      <w:r>
        <w:rPr>
          <w:rFonts w:hint="eastAsia" w:ascii="黑体" w:hAnsi="黑体" w:cs="宋体"/>
          <w:b w:val="0"/>
          <w:bCs w:val="0"/>
          <w:snapToGrid/>
        </w:rPr>
        <w:t>（三）教学经费投入</w:t>
      </w:r>
      <w:bookmarkEnd w:id="126"/>
      <w:bookmarkEnd w:id="127"/>
      <w:r>
        <w:rPr>
          <w:rFonts w:hint="eastAsia" w:ascii="黑体" w:hAnsi="黑体" w:cs="宋体"/>
          <w:b w:val="0"/>
          <w:bCs w:val="0"/>
          <w:snapToGrid/>
        </w:rPr>
        <w:t>情况</w:t>
      </w:r>
      <w:bookmarkEnd w:id="128"/>
      <w:bookmarkEnd w:id="129"/>
      <w:bookmarkEnd w:id="130"/>
      <w:bookmarkEnd w:id="131"/>
      <w:bookmarkEnd w:id="132"/>
      <w:bookmarkEnd w:id="133"/>
      <w:bookmarkEnd w:id="134"/>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学校</w:t>
      </w:r>
      <w:r>
        <w:rPr>
          <w:rFonts w:asciiTheme="minorEastAsia" w:hAnsiTheme="minorEastAsia" w:cstheme="minorEastAsia"/>
          <w:sz w:val="24"/>
          <w:szCs w:val="24"/>
        </w:rPr>
        <w:t>不断加大对本科教学经费的投入，严格执行国家及各级主管部门对教学经费使用的相关规定，并加强教学经费资金管理，坚持统筹安排，突出重点，确保资金的合理、高效使用。学校将</w:t>
      </w:r>
      <w:r>
        <w:rPr>
          <w:rFonts w:hint="eastAsia" w:asciiTheme="minorEastAsia" w:hAnsiTheme="minorEastAsia" w:cstheme="minorEastAsia"/>
          <w:sz w:val="24"/>
          <w:szCs w:val="24"/>
        </w:rPr>
        <w:t>全部经费</w:t>
      </w:r>
      <w:r>
        <w:rPr>
          <w:rFonts w:asciiTheme="minorEastAsia" w:hAnsiTheme="minorEastAsia" w:cstheme="minorEastAsia"/>
          <w:sz w:val="24"/>
          <w:szCs w:val="24"/>
        </w:rPr>
        <w:t>纳入学校财务统一管理，财务处、相关人员负责管理、核算和监督，防止资金使用中发生弄虚作假、截留、挪用、挤占等各种违规违纪行为。201</w:t>
      </w:r>
      <w:r>
        <w:rPr>
          <w:rFonts w:hint="eastAsia" w:asciiTheme="minorEastAsia" w:hAnsiTheme="minorEastAsia" w:cstheme="minorEastAsia"/>
          <w:sz w:val="24"/>
          <w:szCs w:val="24"/>
        </w:rPr>
        <w:t>5</w:t>
      </w:r>
      <w:r>
        <w:rPr>
          <w:rFonts w:asciiTheme="minorEastAsia" w:hAnsiTheme="minorEastAsia" w:cstheme="minorEastAsia"/>
          <w:sz w:val="24"/>
          <w:szCs w:val="24"/>
        </w:rPr>
        <w:t>年教学日常运行支出</w:t>
      </w:r>
      <w:r>
        <w:rPr>
          <w:rFonts w:hint="eastAsia" w:asciiTheme="minorEastAsia" w:hAnsiTheme="minorEastAsia" w:cstheme="minorEastAsia"/>
          <w:sz w:val="24"/>
          <w:szCs w:val="24"/>
        </w:rPr>
        <w:t>5297.14</w:t>
      </w:r>
      <w:r>
        <w:rPr>
          <w:rFonts w:asciiTheme="minorEastAsia" w:hAnsiTheme="minorEastAsia" w:cstheme="minorEastAsia"/>
          <w:sz w:val="24"/>
          <w:szCs w:val="24"/>
        </w:rPr>
        <w:t>万元，</w:t>
      </w:r>
      <w:r>
        <w:rPr>
          <w:rFonts w:hint="eastAsia" w:asciiTheme="minorEastAsia" w:hAnsiTheme="minorEastAsia" w:cstheme="minorEastAsia"/>
          <w:sz w:val="24"/>
          <w:szCs w:val="24"/>
        </w:rPr>
        <w:t>生均本科教学日常运行支出4561.38元。本科专项</w:t>
      </w:r>
      <w:r>
        <w:rPr>
          <w:rFonts w:asciiTheme="minorEastAsia" w:hAnsiTheme="minorEastAsia" w:cstheme="minorEastAsia"/>
          <w:sz w:val="24"/>
          <w:szCs w:val="24"/>
        </w:rPr>
        <w:t>教学经费</w:t>
      </w:r>
      <w:r>
        <w:rPr>
          <w:rFonts w:hint="eastAsia" w:asciiTheme="minorEastAsia" w:hAnsiTheme="minorEastAsia" w:cstheme="minorEastAsia"/>
          <w:sz w:val="24"/>
          <w:szCs w:val="24"/>
        </w:rPr>
        <w:t>243.09</w:t>
      </w:r>
      <w:r>
        <w:rPr>
          <w:rFonts w:asciiTheme="minorEastAsia" w:hAnsiTheme="minorEastAsia" w:cstheme="minorEastAsia"/>
          <w:sz w:val="24"/>
          <w:szCs w:val="24"/>
        </w:rPr>
        <w:t>万元</w:t>
      </w:r>
      <w:r>
        <w:rPr>
          <w:rFonts w:hint="eastAsia" w:asciiTheme="minorEastAsia" w:hAnsiTheme="minorEastAsia" w:cstheme="minorEastAsia"/>
          <w:sz w:val="24"/>
          <w:szCs w:val="24"/>
        </w:rPr>
        <w:t>。</w:t>
      </w:r>
      <w:r>
        <w:rPr>
          <w:rFonts w:asciiTheme="minorEastAsia" w:hAnsiTheme="minorEastAsia" w:cstheme="minorEastAsia"/>
          <w:sz w:val="24"/>
          <w:szCs w:val="24"/>
        </w:rPr>
        <w:t>教育经费优先保障教学，使教学工作稳步发展，教学条件逐步完善，教学资源不断丰富，有力地促进了本科教学质量的提高（如</w:t>
      </w:r>
      <w:r>
        <w:rPr>
          <w:rFonts w:hint="eastAsia" w:asciiTheme="minorEastAsia" w:hAnsiTheme="minorEastAsia" w:cstheme="minorEastAsia"/>
          <w:sz w:val="24"/>
          <w:szCs w:val="24"/>
        </w:rPr>
        <w:t>表3-2江西服装学院教学经费情况表</w:t>
      </w:r>
      <w:r>
        <w:rPr>
          <w:rFonts w:asciiTheme="minorEastAsia" w:hAnsiTheme="minorEastAsia" w:cstheme="minorEastAsia"/>
          <w:sz w:val="24"/>
          <w:szCs w:val="24"/>
        </w:rPr>
        <w:t>所示）。</w:t>
      </w:r>
    </w:p>
    <w:p>
      <w:pPr>
        <w:jc w:val="center"/>
        <w:rPr>
          <w:rFonts w:asciiTheme="minorEastAsia" w:hAnsiTheme="minorEastAsia" w:cstheme="minorEastAsia"/>
          <w:szCs w:val="21"/>
        </w:rPr>
      </w:pPr>
      <w:r>
        <w:rPr>
          <w:rFonts w:hint="eastAsia" w:asciiTheme="minorEastAsia" w:hAnsiTheme="minorEastAsia" w:cstheme="minorEastAsia"/>
          <w:szCs w:val="21"/>
        </w:rPr>
        <w:t xml:space="preserve">表3-2 </w:t>
      </w:r>
      <w:r>
        <w:rPr>
          <w:rFonts w:asciiTheme="minorEastAsia" w:hAnsiTheme="minorEastAsia" w:cstheme="minorEastAsia"/>
          <w:szCs w:val="21"/>
        </w:rPr>
        <w:t>江西服装学院</w:t>
      </w:r>
      <w:r>
        <w:rPr>
          <w:rFonts w:hint="eastAsia" w:asciiTheme="minorEastAsia" w:hAnsiTheme="minorEastAsia" w:cstheme="minorEastAsia"/>
          <w:szCs w:val="21"/>
        </w:rPr>
        <w:t>教学</w:t>
      </w:r>
      <w:r>
        <w:rPr>
          <w:rFonts w:asciiTheme="minorEastAsia" w:hAnsiTheme="minorEastAsia" w:cstheme="minorEastAsia"/>
          <w:szCs w:val="21"/>
        </w:rPr>
        <w:t>经费情况表</w:t>
      </w:r>
    </w:p>
    <w:tbl>
      <w:tblPr>
        <w:tblStyle w:val="15"/>
        <w:tblW w:w="6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2137"/>
        <w:gridCol w:w="2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vAlign w:val="center"/>
          </w:tcPr>
          <w:p>
            <w:pPr>
              <w:spacing w:line="400" w:lineRule="exact"/>
              <w:jc w:val="center"/>
              <w:rPr>
                <w:rFonts w:asciiTheme="minorEastAsia" w:hAnsiTheme="minorEastAsia" w:cstheme="minorEastAsia"/>
                <w:b/>
                <w:szCs w:val="21"/>
              </w:rPr>
            </w:pPr>
            <w:r>
              <w:rPr>
                <w:rFonts w:asciiTheme="minorEastAsia" w:hAnsiTheme="minorEastAsia" w:cstheme="minorEastAsia"/>
                <w:b/>
                <w:szCs w:val="21"/>
              </w:rPr>
              <w:t>年份</w:t>
            </w:r>
          </w:p>
        </w:tc>
        <w:tc>
          <w:tcPr>
            <w:tcW w:w="2137" w:type="dxa"/>
            <w:vAlign w:val="center"/>
          </w:tcPr>
          <w:p>
            <w:pPr>
              <w:spacing w:line="400" w:lineRule="exact"/>
              <w:jc w:val="center"/>
              <w:rPr>
                <w:rFonts w:asciiTheme="minorEastAsia" w:hAnsiTheme="minorEastAsia" w:cstheme="minorEastAsia"/>
                <w:b/>
                <w:szCs w:val="21"/>
              </w:rPr>
            </w:pPr>
            <w:r>
              <w:rPr>
                <w:rFonts w:asciiTheme="minorEastAsia" w:hAnsiTheme="minorEastAsia" w:cstheme="minorEastAsia"/>
                <w:b/>
                <w:szCs w:val="21"/>
              </w:rPr>
              <w:t>教学日常运行支出</w:t>
            </w:r>
            <w:r>
              <w:rPr>
                <w:rFonts w:hint="eastAsia" w:asciiTheme="minorEastAsia" w:hAnsiTheme="minorEastAsia" w:cstheme="minorEastAsia"/>
                <w:b/>
                <w:szCs w:val="21"/>
              </w:rPr>
              <w:t>（万元）</w:t>
            </w:r>
          </w:p>
        </w:tc>
        <w:tc>
          <w:tcPr>
            <w:tcW w:w="2966" w:type="dxa"/>
            <w:vAlign w:val="center"/>
          </w:tcPr>
          <w:p>
            <w:pPr>
              <w:spacing w:line="400" w:lineRule="exact"/>
              <w:jc w:val="center"/>
              <w:rPr>
                <w:rFonts w:asciiTheme="minorEastAsia" w:hAnsiTheme="minorEastAsia" w:cstheme="minorEastAsia"/>
                <w:b/>
                <w:szCs w:val="21"/>
              </w:rPr>
            </w:pPr>
            <w:r>
              <w:rPr>
                <w:rFonts w:asciiTheme="minorEastAsia" w:hAnsiTheme="minorEastAsia" w:cstheme="minorEastAsia"/>
                <w:b/>
                <w:szCs w:val="21"/>
              </w:rPr>
              <w:t>生均本科教学日常运行支出</w:t>
            </w:r>
            <w:r>
              <w:rPr>
                <w:rFonts w:hint="eastAsia" w:asciiTheme="minorEastAsia" w:hAnsiTheme="minorEastAsia" w:cstheme="minorEastAsia"/>
                <w:b/>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2013</w:t>
            </w:r>
          </w:p>
        </w:tc>
        <w:tc>
          <w:tcPr>
            <w:tcW w:w="2137"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4743.38</w:t>
            </w:r>
          </w:p>
        </w:tc>
        <w:tc>
          <w:tcPr>
            <w:tcW w:w="2966" w:type="dxa"/>
            <w:vAlign w:val="center"/>
          </w:tcPr>
          <w:p>
            <w:pPr>
              <w:spacing w:line="400" w:lineRule="exact"/>
              <w:jc w:val="center"/>
              <w:rPr>
                <w:rFonts w:asciiTheme="minorEastAsia" w:hAnsiTheme="minorEastAsia" w:cstheme="minorEastAsia"/>
                <w:color w:val="FF0000"/>
                <w:szCs w:val="21"/>
              </w:rPr>
            </w:pPr>
            <w:r>
              <w:rPr>
                <w:rFonts w:hint="eastAsia" w:asciiTheme="minorEastAsia" w:hAnsiTheme="minorEastAsia" w:cstheme="minorEastAsia"/>
                <w:szCs w:val="21"/>
              </w:rPr>
              <w:t>4889.58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2014</w:t>
            </w:r>
          </w:p>
        </w:tc>
        <w:tc>
          <w:tcPr>
            <w:tcW w:w="2137"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5110.72</w:t>
            </w:r>
          </w:p>
        </w:tc>
        <w:tc>
          <w:tcPr>
            <w:tcW w:w="2966" w:type="dxa"/>
            <w:vAlign w:val="center"/>
          </w:tcPr>
          <w:p>
            <w:pPr>
              <w:spacing w:line="40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4453.01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2015</w:t>
            </w:r>
          </w:p>
        </w:tc>
        <w:tc>
          <w:tcPr>
            <w:tcW w:w="2137"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5297.14</w:t>
            </w:r>
          </w:p>
        </w:tc>
        <w:tc>
          <w:tcPr>
            <w:tcW w:w="2966" w:type="dxa"/>
            <w:vAlign w:val="center"/>
          </w:tcPr>
          <w:p>
            <w:pPr>
              <w:spacing w:line="40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4561.38</w:t>
            </w:r>
          </w:p>
        </w:tc>
      </w:tr>
    </w:tbl>
    <w:p>
      <w:pPr>
        <w:pStyle w:val="3"/>
        <w:spacing w:line="240" w:lineRule="auto"/>
        <w:ind w:left="0" w:firstLine="0" w:firstLineChars="0"/>
        <w:rPr>
          <w:rFonts w:ascii="黑体" w:hAnsi="黑体" w:cs="宋体"/>
          <w:b w:val="0"/>
          <w:bCs w:val="0"/>
          <w:snapToGrid/>
        </w:rPr>
      </w:pPr>
      <w:bookmarkStart w:id="135" w:name="_Toc465417259"/>
      <w:bookmarkStart w:id="136" w:name="_Toc465433483"/>
      <w:bookmarkStart w:id="137" w:name="_Toc12507"/>
      <w:bookmarkStart w:id="138" w:name="_Toc465671311"/>
      <w:bookmarkStart w:id="139" w:name="_Toc465498454"/>
      <w:bookmarkStart w:id="140" w:name="_Toc469036836"/>
      <w:bookmarkStart w:id="141" w:name="_Toc465499586"/>
      <w:bookmarkStart w:id="142" w:name="_Toc469900308"/>
      <w:r>
        <w:rPr>
          <w:rFonts w:hint="eastAsia" w:ascii="黑体" w:hAnsi="黑体" w:cs="宋体"/>
          <w:b w:val="0"/>
          <w:bCs w:val="0"/>
          <w:snapToGrid/>
        </w:rPr>
        <w:t>（四）</w:t>
      </w:r>
      <w:bookmarkEnd w:id="135"/>
      <w:r>
        <w:rPr>
          <w:rFonts w:hint="eastAsia" w:ascii="黑体" w:hAnsi="黑体" w:cs="宋体"/>
          <w:b w:val="0"/>
          <w:bCs w:val="0"/>
          <w:snapToGrid/>
        </w:rPr>
        <w:t>教学行政用房、图书、设备等资源及其应用情况</w:t>
      </w:r>
      <w:bookmarkEnd w:id="136"/>
      <w:bookmarkEnd w:id="137"/>
      <w:bookmarkEnd w:id="138"/>
      <w:bookmarkEnd w:id="139"/>
      <w:bookmarkEnd w:id="140"/>
      <w:bookmarkEnd w:id="141"/>
      <w:bookmarkEnd w:id="142"/>
    </w:p>
    <w:p>
      <w:pPr>
        <w:pStyle w:val="5"/>
        <w:spacing w:before="0" w:after="0" w:line="240" w:lineRule="auto"/>
        <w:rPr>
          <w:rFonts w:cs="宋体" w:asciiTheme="minorEastAsia" w:hAnsiTheme="minorEastAsia"/>
          <w:bCs w:val="0"/>
          <w:sz w:val="28"/>
          <w:szCs w:val="28"/>
        </w:rPr>
      </w:pPr>
      <w:bookmarkStart w:id="143" w:name="_Toc469900309"/>
      <w:bookmarkStart w:id="144" w:name="_Toc465417260"/>
      <w:bookmarkStart w:id="145" w:name="_Toc465671312"/>
      <w:bookmarkStart w:id="146" w:name="_Toc465498455"/>
      <w:bookmarkStart w:id="147" w:name="_Toc465433484"/>
      <w:bookmarkStart w:id="148" w:name="_Toc465499587"/>
      <w:bookmarkStart w:id="149" w:name="_Toc30345"/>
      <w:bookmarkStart w:id="150" w:name="_Toc469036837"/>
      <w:r>
        <w:rPr>
          <w:rFonts w:hint="eastAsia" w:ascii="黑体" w:hAnsi="黑体" w:eastAsia="黑体" w:cs="宋体"/>
          <w:bCs w:val="0"/>
          <w:sz w:val="24"/>
          <w:szCs w:val="24"/>
        </w:rPr>
        <w:t>1</w:t>
      </w:r>
      <w:r>
        <w:rPr>
          <w:rFonts w:ascii="黑体" w:hAnsi="黑体" w:eastAsia="黑体" w:cs="宋体"/>
          <w:bCs w:val="0"/>
          <w:sz w:val="24"/>
          <w:szCs w:val="24"/>
        </w:rPr>
        <w:t>.教学</w:t>
      </w:r>
      <w:r>
        <w:rPr>
          <w:rFonts w:hint="eastAsia" w:ascii="黑体" w:hAnsi="黑体" w:eastAsia="黑体" w:cs="宋体"/>
          <w:bCs w:val="0"/>
          <w:sz w:val="24"/>
          <w:szCs w:val="24"/>
        </w:rPr>
        <w:t>行政</w:t>
      </w:r>
      <w:r>
        <w:rPr>
          <w:rFonts w:ascii="黑体" w:hAnsi="黑体" w:eastAsia="黑体" w:cs="宋体"/>
          <w:bCs w:val="0"/>
          <w:sz w:val="24"/>
          <w:szCs w:val="24"/>
        </w:rPr>
        <w:t>用房面积</w:t>
      </w:r>
      <w:bookmarkEnd w:id="143"/>
      <w:bookmarkEnd w:id="144"/>
      <w:bookmarkEnd w:id="145"/>
      <w:bookmarkEnd w:id="146"/>
      <w:bookmarkEnd w:id="147"/>
      <w:bookmarkEnd w:id="148"/>
      <w:bookmarkEnd w:id="149"/>
      <w:bookmarkEnd w:id="150"/>
      <w:r>
        <w:rPr>
          <w:rFonts w:cs="宋体" w:asciiTheme="minorEastAsia" w:hAnsiTheme="minorEastAsia"/>
          <w:bCs w:val="0"/>
          <w:sz w:val="28"/>
          <w:szCs w:val="28"/>
        </w:rPr>
        <w:tab/>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学校现有1个校区，占地537856.70平方米。学校共有教学科研及辅助用房</w:t>
      </w:r>
      <w:r>
        <w:rPr>
          <w:rFonts w:asciiTheme="minorEastAsia" w:hAnsiTheme="minorEastAsia" w:cstheme="minorEastAsia"/>
          <w:sz w:val="24"/>
          <w:szCs w:val="24"/>
        </w:rPr>
        <w:t>140576.58</w:t>
      </w:r>
      <w:r>
        <w:rPr>
          <w:rFonts w:hint="eastAsia" w:asciiTheme="minorEastAsia" w:hAnsiTheme="minorEastAsia" w:cstheme="minorEastAsia"/>
          <w:sz w:val="24"/>
          <w:szCs w:val="24"/>
        </w:rPr>
        <w:t xml:space="preserve"> 平方米，其中教室59397.46平方米，图书馆7355.50 平方米，实验室、实习场所59586.48平方米，</w:t>
      </w:r>
      <w:r>
        <w:rPr>
          <w:rFonts w:asciiTheme="minorEastAsia" w:hAnsiTheme="minorEastAsia" w:cstheme="minorEastAsia"/>
          <w:sz w:val="24"/>
          <w:szCs w:val="24"/>
        </w:rPr>
        <w:t>专用科研用房</w:t>
      </w:r>
      <w:r>
        <w:rPr>
          <w:rFonts w:hint="eastAsia" w:asciiTheme="minorEastAsia" w:hAnsiTheme="minorEastAsia" w:cstheme="minorEastAsia"/>
          <w:sz w:val="24"/>
          <w:szCs w:val="24"/>
        </w:rPr>
        <w:t>840.66</w:t>
      </w:r>
      <w:r>
        <w:rPr>
          <w:rFonts w:asciiTheme="minorEastAsia" w:hAnsiTheme="minorEastAsia" w:cstheme="minorEastAsia"/>
          <w:sz w:val="24"/>
          <w:szCs w:val="24"/>
        </w:rPr>
        <w:t>平方米</w:t>
      </w:r>
      <w:r>
        <w:rPr>
          <w:rFonts w:hint="eastAsia" w:asciiTheme="minorEastAsia" w:hAnsiTheme="minorEastAsia" w:cstheme="minorEastAsia"/>
          <w:sz w:val="24"/>
          <w:szCs w:val="24"/>
        </w:rPr>
        <w:t>、体育馆8468.48平方米、会堂4928.00平方米。另有为教学服务的行政办公用房</w:t>
      </w:r>
      <w:r>
        <w:rPr>
          <w:rFonts w:asciiTheme="minorEastAsia" w:hAnsiTheme="minorEastAsia" w:cstheme="minorEastAsia"/>
          <w:sz w:val="24"/>
          <w:szCs w:val="24"/>
        </w:rPr>
        <w:t>62245.21</w:t>
      </w:r>
      <w:r>
        <w:rPr>
          <w:rFonts w:hint="eastAsia" w:asciiTheme="minorEastAsia" w:hAnsiTheme="minorEastAsia" w:cstheme="minorEastAsia"/>
          <w:sz w:val="24"/>
          <w:szCs w:val="24"/>
        </w:rPr>
        <w:t xml:space="preserve"> 平方米。生均教学行政用房17.47平方米，生均实验室面积5.13 平方米。</w:t>
      </w:r>
      <w:r>
        <w:rPr>
          <w:rFonts w:asciiTheme="minorEastAsia" w:hAnsiTheme="minorEastAsia" w:cstheme="minorEastAsia"/>
          <w:sz w:val="24"/>
          <w:szCs w:val="24"/>
        </w:rPr>
        <w:t> </w:t>
      </w:r>
    </w:p>
    <w:p>
      <w:pPr>
        <w:pStyle w:val="5"/>
        <w:spacing w:before="0" w:after="0" w:line="240" w:lineRule="auto"/>
        <w:rPr>
          <w:rFonts w:ascii="黑体" w:hAnsi="黑体" w:eastAsia="黑体" w:cs="宋体"/>
          <w:bCs w:val="0"/>
          <w:sz w:val="24"/>
          <w:szCs w:val="24"/>
        </w:rPr>
      </w:pPr>
      <w:bookmarkStart w:id="151" w:name="_Toc469036838"/>
      <w:bookmarkStart w:id="152" w:name="_Toc469900310"/>
      <w:bookmarkStart w:id="153" w:name="_Toc465417261"/>
      <w:bookmarkStart w:id="154" w:name="_Toc465499588"/>
      <w:bookmarkStart w:id="155" w:name="_Toc433736594"/>
      <w:bookmarkStart w:id="156" w:name="_Toc465671313"/>
      <w:bookmarkStart w:id="157" w:name="_Toc465498456"/>
      <w:bookmarkStart w:id="158" w:name="_Toc3325"/>
      <w:bookmarkStart w:id="159" w:name="_Toc465433485"/>
      <w:r>
        <w:rPr>
          <w:rFonts w:ascii="黑体" w:hAnsi="黑体" w:eastAsia="黑体" w:cs="宋体"/>
          <w:bCs w:val="0"/>
          <w:sz w:val="24"/>
          <w:szCs w:val="24"/>
        </w:rPr>
        <w:t>2.</w:t>
      </w:r>
      <w:r>
        <w:rPr>
          <w:rFonts w:hint="eastAsia" w:ascii="黑体" w:hAnsi="黑体" w:eastAsia="黑体" w:cs="宋体"/>
          <w:bCs w:val="0"/>
          <w:sz w:val="24"/>
          <w:szCs w:val="24"/>
        </w:rPr>
        <w:t>教学场馆</w:t>
      </w:r>
      <w:bookmarkEnd w:id="151"/>
      <w:bookmarkEnd w:id="152"/>
      <w:bookmarkEnd w:id="153"/>
      <w:bookmarkEnd w:id="154"/>
      <w:bookmarkEnd w:id="155"/>
      <w:bookmarkEnd w:id="156"/>
      <w:bookmarkEnd w:id="157"/>
      <w:bookmarkEnd w:id="158"/>
      <w:bookmarkEnd w:id="159"/>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公共教室、计算机房、语音教室等</w:t>
      </w:r>
      <w:r>
        <w:rPr>
          <w:rFonts w:asciiTheme="minorEastAsia" w:hAnsiTheme="minorEastAsia" w:cstheme="minorEastAsia"/>
          <w:sz w:val="24"/>
          <w:szCs w:val="24"/>
        </w:rPr>
        <w:t>310</w:t>
      </w:r>
      <w:r>
        <w:rPr>
          <w:rFonts w:hint="eastAsia" w:asciiTheme="minorEastAsia" w:hAnsiTheme="minorEastAsia" w:cstheme="minorEastAsia"/>
          <w:sz w:val="24"/>
          <w:szCs w:val="24"/>
        </w:rPr>
        <w:t xml:space="preserve">间， </w:t>
      </w:r>
      <w:r>
        <w:rPr>
          <w:rFonts w:asciiTheme="minorEastAsia" w:hAnsiTheme="minorEastAsia" w:cstheme="minorEastAsia"/>
          <w:sz w:val="24"/>
          <w:szCs w:val="24"/>
        </w:rPr>
        <w:t>18780</w:t>
      </w:r>
      <w:r>
        <w:rPr>
          <w:rFonts w:hint="eastAsia" w:asciiTheme="minorEastAsia" w:hAnsiTheme="minorEastAsia" w:cstheme="minorEastAsia"/>
          <w:sz w:val="24"/>
          <w:szCs w:val="24"/>
        </w:rPr>
        <w:t>个座位，其中多媒体教室256</w:t>
      </w:r>
      <w:r>
        <w:rPr>
          <w:rFonts w:asciiTheme="minorEastAsia" w:hAnsiTheme="minorEastAsia" w:cstheme="minorEastAsia"/>
          <w:sz w:val="24"/>
          <w:szCs w:val="24"/>
        </w:rPr>
        <w:t xml:space="preserve"> </w:t>
      </w:r>
      <w:r>
        <w:rPr>
          <w:rFonts w:hint="eastAsia" w:asciiTheme="minorEastAsia" w:hAnsiTheme="minorEastAsia" w:cstheme="minorEastAsia"/>
          <w:sz w:val="24"/>
          <w:szCs w:val="24"/>
        </w:rPr>
        <w:t>间，占82.58</w:t>
      </w:r>
      <w:r>
        <w:rPr>
          <w:rFonts w:asciiTheme="minorEastAsia" w:hAnsiTheme="minorEastAsia" w:cstheme="minorEastAsia"/>
          <w:sz w:val="24"/>
          <w:szCs w:val="24"/>
        </w:rPr>
        <w:t xml:space="preserve"> %</w:t>
      </w:r>
      <w:r>
        <w:rPr>
          <w:rFonts w:hint="eastAsia" w:asciiTheme="minorEastAsia" w:hAnsiTheme="minorEastAsia" w:cstheme="minorEastAsia"/>
          <w:sz w:val="24"/>
          <w:szCs w:val="24"/>
        </w:rPr>
        <w:t>。</w:t>
      </w:r>
      <w:bookmarkStart w:id="160" w:name="_Toc433736595"/>
    </w:p>
    <w:p>
      <w:pPr>
        <w:pStyle w:val="5"/>
        <w:spacing w:before="0" w:after="0" w:line="240" w:lineRule="auto"/>
        <w:rPr>
          <w:rFonts w:ascii="黑体" w:hAnsi="黑体" w:eastAsia="黑体" w:cs="宋体"/>
          <w:bCs w:val="0"/>
          <w:sz w:val="24"/>
          <w:szCs w:val="24"/>
        </w:rPr>
      </w:pPr>
      <w:bookmarkStart w:id="161" w:name="_Toc469900311"/>
      <w:bookmarkStart w:id="162" w:name="_Toc465671314"/>
      <w:bookmarkStart w:id="163" w:name="_Toc469036839"/>
      <w:bookmarkStart w:id="164" w:name="_Toc18904"/>
      <w:bookmarkStart w:id="165" w:name="_Toc465499589"/>
      <w:bookmarkStart w:id="166" w:name="_Toc465498457"/>
      <w:bookmarkStart w:id="167" w:name="_Toc465433486"/>
      <w:bookmarkStart w:id="168" w:name="_Toc465417262"/>
      <w:r>
        <w:rPr>
          <w:rFonts w:ascii="黑体" w:hAnsi="黑体" w:eastAsia="黑体" w:cs="宋体"/>
          <w:bCs w:val="0"/>
          <w:sz w:val="24"/>
          <w:szCs w:val="24"/>
        </w:rPr>
        <w:t>3.</w:t>
      </w:r>
      <w:r>
        <w:rPr>
          <w:rFonts w:hint="eastAsia" w:ascii="黑体" w:hAnsi="黑体" w:eastAsia="黑体" w:cs="宋体"/>
          <w:bCs w:val="0"/>
          <w:sz w:val="24"/>
          <w:szCs w:val="24"/>
        </w:rPr>
        <w:t>教学科研仪器设备</w:t>
      </w:r>
      <w:bookmarkEnd w:id="160"/>
      <w:bookmarkEnd w:id="161"/>
      <w:bookmarkEnd w:id="162"/>
      <w:bookmarkEnd w:id="163"/>
      <w:bookmarkEnd w:id="164"/>
      <w:bookmarkEnd w:id="165"/>
      <w:bookmarkEnd w:id="166"/>
      <w:bookmarkEnd w:id="167"/>
      <w:bookmarkEnd w:id="168"/>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教学科研仪器设备总值约6648.46万元，生均</w:t>
      </w:r>
      <w:r>
        <w:rPr>
          <w:rFonts w:asciiTheme="minorEastAsia" w:hAnsiTheme="minorEastAsia" w:cstheme="minorEastAsia"/>
          <w:sz w:val="24"/>
          <w:szCs w:val="24"/>
        </w:rPr>
        <w:t>0.</w:t>
      </w:r>
      <w:r>
        <w:rPr>
          <w:rFonts w:hint="eastAsia" w:asciiTheme="minorEastAsia" w:hAnsiTheme="minorEastAsia" w:cstheme="minorEastAsia"/>
          <w:sz w:val="24"/>
          <w:szCs w:val="24"/>
        </w:rPr>
        <w:t>57万元，当年新增教学科研仪器设备总值新增1062.87万元，增长15.99</w:t>
      </w:r>
      <w:r>
        <w:rPr>
          <w:rFonts w:asciiTheme="minorEastAsia" w:hAnsiTheme="minorEastAsia" w:cstheme="minorEastAsia"/>
          <w:sz w:val="24"/>
          <w:szCs w:val="24"/>
        </w:rPr>
        <w:t xml:space="preserve"> %</w:t>
      </w:r>
      <w:r>
        <w:rPr>
          <w:rFonts w:hint="eastAsia" w:asciiTheme="minorEastAsia" w:hAnsiTheme="minorEastAsia" w:cstheme="minorEastAsia"/>
          <w:sz w:val="24"/>
          <w:szCs w:val="24"/>
        </w:rPr>
        <w:t>，连续三年增长明显</w:t>
      </w:r>
      <w:r>
        <w:rPr>
          <w:rFonts w:asciiTheme="minorEastAsia" w:hAnsiTheme="minorEastAsia" w:cstheme="minorEastAsia"/>
          <w:sz w:val="24"/>
          <w:szCs w:val="24"/>
        </w:rPr>
        <w:t>（如</w:t>
      </w:r>
      <w:r>
        <w:rPr>
          <w:rFonts w:hint="eastAsia" w:asciiTheme="minorEastAsia" w:hAnsiTheme="minorEastAsia" w:cstheme="minorEastAsia"/>
          <w:sz w:val="24"/>
          <w:szCs w:val="24"/>
        </w:rPr>
        <w:t>表3-3江西服装学院教学科研仪器设备情况表</w:t>
      </w:r>
      <w:r>
        <w:rPr>
          <w:rFonts w:asciiTheme="minorEastAsia" w:hAnsiTheme="minorEastAsia" w:cstheme="minorEastAsia"/>
          <w:sz w:val="24"/>
          <w:szCs w:val="24"/>
        </w:rPr>
        <w:t>所示）</w:t>
      </w:r>
      <w:r>
        <w:rPr>
          <w:rFonts w:hint="eastAsia" w:asciiTheme="minorEastAsia" w:hAnsiTheme="minorEastAsia" w:cstheme="minorEastAsia"/>
          <w:sz w:val="24"/>
          <w:szCs w:val="24"/>
        </w:rPr>
        <w:t>。</w:t>
      </w:r>
    </w:p>
    <w:p>
      <w:pPr>
        <w:jc w:val="center"/>
        <w:rPr>
          <w:rFonts w:asciiTheme="minorEastAsia" w:hAnsiTheme="minorEastAsia" w:cstheme="minorEastAsia"/>
          <w:szCs w:val="21"/>
        </w:rPr>
      </w:pPr>
      <w:r>
        <w:rPr>
          <w:rFonts w:hint="eastAsia" w:asciiTheme="minorEastAsia" w:hAnsiTheme="minorEastAsia" w:cstheme="minorEastAsia"/>
          <w:szCs w:val="21"/>
        </w:rPr>
        <w:t xml:space="preserve">表3-3 </w:t>
      </w:r>
      <w:r>
        <w:rPr>
          <w:rFonts w:asciiTheme="minorEastAsia" w:hAnsiTheme="minorEastAsia" w:cstheme="minorEastAsia"/>
          <w:szCs w:val="21"/>
        </w:rPr>
        <w:t>江西服装学院</w:t>
      </w:r>
      <w:r>
        <w:rPr>
          <w:rFonts w:hint="eastAsia" w:asciiTheme="minorEastAsia" w:hAnsiTheme="minorEastAsia" w:cstheme="minorEastAsia"/>
          <w:szCs w:val="21"/>
        </w:rPr>
        <w:t>教学科研仪器设备</w:t>
      </w:r>
      <w:r>
        <w:rPr>
          <w:rFonts w:asciiTheme="minorEastAsia" w:hAnsiTheme="minorEastAsia" w:cstheme="minorEastAsia"/>
          <w:szCs w:val="21"/>
        </w:rPr>
        <w:t>情况表</w:t>
      </w:r>
    </w:p>
    <w:tbl>
      <w:tblPr>
        <w:tblStyle w:val="15"/>
        <w:tblW w:w="77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3195"/>
        <w:gridCol w:w="3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3" w:type="dxa"/>
            <w:vAlign w:val="center"/>
          </w:tcPr>
          <w:p>
            <w:pPr>
              <w:spacing w:line="400" w:lineRule="exact"/>
              <w:jc w:val="center"/>
              <w:rPr>
                <w:rFonts w:asciiTheme="minorEastAsia" w:hAnsiTheme="minorEastAsia" w:cstheme="minorEastAsia"/>
                <w:b/>
                <w:szCs w:val="21"/>
              </w:rPr>
            </w:pPr>
            <w:r>
              <w:rPr>
                <w:rFonts w:asciiTheme="minorEastAsia" w:hAnsiTheme="minorEastAsia" w:cstheme="minorEastAsia"/>
                <w:b/>
                <w:szCs w:val="21"/>
              </w:rPr>
              <w:t>年份</w:t>
            </w:r>
          </w:p>
        </w:tc>
        <w:tc>
          <w:tcPr>
            <w:tcW w:w="3195"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教学</w:t>
            </w:r>
            <w:r>
              <w:rPr>
                <w:rFonts w:asciiTheme="minorEastAsia" w:hAnsiTheme="minorEastAsia" w:cstheme="minorEastAsia"/>
                <w:b/>
                <w:szCs w:val="21"/>
              </w:rPr>
              <w:t>科研仪器设备总值</w:t>
            </w:r>
            <w:r>
              <w:rPr>
                <w:rFonts w:hint="eastAsia" w:asciiTheme="minorEastAsia" w:hAnsiTheme="minorEastAsia" w:cstheme="minorEastAsia"/>
                <w:b/>
                <w:szCs w:val="21"/>
              </w:rPr>
              <w:t>（万元）</w:t>
            </w:r>
          </w:p>
        </w:tc>
        <w:tc>
          <w:tcPr>
            <w:tcW w:w="3247" w:type="dxa"/>
            <w:vAlign w:val="center"/>
          </w:tcPr>
          <w:p>
            <w:pPr>
              <w:spacing w:line="400" w:lineRule="exact"/>
              <w:jc w:val="center"/>
              <w:rPr>
                <w:rFonts w:asciiTheme="minorEastAsia" w:hAnsiTheme="minorEastAsia" w:cstheme="minorEastAsia"/>
                <w:b/>
                <w:szCs w:val="21"/>
              </w:rPr>
            </w:pPr>
            <w:r>
              <w:rPr>
                <w:rFonts w:asciiTheme="minorEastAsia" w:hAnsiTheme="minorEastAsia" w:cstheme="minorEastAsia"/>
                <w:b/>
                <w:color w:val="000000" w:themeColor="text1"/>
                <w:szCs w:val="21"/>
                <w14:textFill>
                  <w14:solidFill>
                    <w14:schemeClr w14:val="tx1"/>
                  </w14:solidFill>
                </w14:textFill>
              </w:rPr>
              <w:t>生均</w:t>
            </w:r>
            <w:r>
              <w:rPr>
                <w:rFonts w:hint="eastAsia" w:asciiTheme="minorEastAsia" w:hAnsiTheme="minorEastAsia" w:cstheme="minorEastAsia"/>
                <w:b/>
                <w:color w:val="000000" w:themeColor="text1"/>
                <w:szCs w:val="21"/>
                <w14:textFill>
                  <w14:solidFill>
                    <w14:schemeClr w14:val="tx1"/>
                  </w14:solidFill>
                </w14:textFill>
              </w:rPr>
              <w:t>教学科研仪器设备总值（元）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3"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2013</w:t>
            </w:r>
          </w:p>
        </w:tc>
        <w:tc>
          <w:tcPr>
            <w:tcW w:w="3195" w:type="dxa"/>
          </w:tcPr>
          <w:p>
            <w:pPr>
              <w:spacing w:line="400" w:lineRule="exact"/>
              <w:jc w:val="center"/>
              <w:rPr>
                <w:rFonts w:asciiTheme="minorEastAsia" w:hAnsiTheme="minorEastAsia" w:cstheme="minorEastAsia"/>
                <w:szCs w:val="21"/>
              </w:rPr>
            </w:pPr>
            <w:r>
              <w:rPr>
                <w:rFonts w:asciiTheme="minorEastAsia" w:hAnsiTheme="minorEastAsia" w:cstheme="minorEastAsia"/>
                <w:szCs w:val="21"/>
              </w:rPr>
              <w:t>4471.58</w:t>
            </w:r>
          </w:p>
        </w:tc>
        <w:tc>
          <w:tcPr>
            <w:tcW w:w="3247" w:type="dxa"/>
          </w:tcPr>
          <w:p>
            <w:pPr>
              <w:spacing w:line="400" w:lineRule="exact"/>
              <w:jc w:val="center"/>
              <w:rPr>
                <w:rFonts w:asciiTheme="minorEastAsia" w:hAnsiTheme="minorEastAsia" w:cstheme="minorEastAsia"/>
                <w:szCs w:val="21"/>
              </w:rPr>
            </w:pPr>
            <w:r>
              <w:rPr>
                <w:rFonts w:asciiTheme="minorEastAsia" w:hAnsiTheme="minorEastAsia" w:cstheme="minorEastAsia"/>
                <w:szCs w:val="21"/>
              </w:rPr>
              <w:t>5081.76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3"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2014</w:t>
            </w:r>
          </w:p>
        </w:tc>
        <w:tc>
          <w:tcPr>
            <w:tcW w:w="3195"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5835.64</w:t>
            </w:r>
          </w:p>
        </w:tc>
        <w:tc>
          <w:tcPr>
            <w:tcW w:w="3247" w:type="dxa"/>
            <w:vAlign w:val="center"/>
          </w:tcPr>
          <w:p>
            <w:pPr>
              <w:spacing w:line="40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5084.63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3"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2015</w:t>
            </w:r>
          </w:p>
        </w:tc>
        <w:tc>
          <w:tcPr>
            <w:tcW w:w="3195"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6618.46</w:t>
            </w:r>
          </w:p>
        </w:tc>
        <w:tc>
          <w:tcPr>
            <w:tcW w:w="3247" w:type="dxa"/>
            <w:vAlign w:val="center"/>
          </w:tcPr>
          <w:p>
            <w:pPr>
              <w:spacing w:line="40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5725.02</w:t>
            </w:r>
          </w:p>
        </w:tc>
      </w:tr>
    </w:tbl>
    <w:p>
      <w:pPr>
        <w:pStyle w:val="5"/>
        <w:spacing w:before="0" w:after="0" w:line="240" w:lineRule="auto"/>
        <w:rPr>
          <w:rFonts w:ascii="黑体" w:hAnsi="黑体" w:eastAsia="黑体" w:cs="宋体"/>
          <w:bCs w:val="0"/>
          <w:sz w:val="24"/>
          <w:szCs w:val="24"/>
        </w:rPr>
      </w:pPr>
      <w:bookmarkStart w:id="169" w:name="_Toc465671315"/>
      <w:bookmarkStart w:id="170" w:name="_Toc465498458"/>
      <w:bookmarkStart w:id="171" w:name="_Toc465433487"/>
      <w:bookmarkStart w:id="172" w:name="_Toc469036840"/>
      <w:bookmarkStart w:id="173" w:name="_Toc11924"/>
      <w:bookmarkStart w:id="174" w:name="_Toc469900312"/>
      <w:bookmarkStart w:id="175" w:name="_Toc465417263"/>
      <w:bookmarkStart w:id="176" w:name="_Toc465499590"/>
      <w:r>
        <w:rPr>
          <w:rFonts w:hint="eastAsia" w:ascii="黑体" w:hAnsi="黑体" w:eastAsia="黑体" w:cs="宋体"/>
          <w:bCs w:val="0"/>
          <w:sz w:val="24"/>
          <w:szCs w:val="24"/>
        </w:rPr>
        <w:t>4</w:t>
      </w:r>
      <w:r>
        <w:rPr>
          <w:rFonts w:ascii="黑体" w:hAnsi="黑体" w:eastAsia="黑体" w:cs="宋体"/>
          <w:bCs w:val="0"/>
          <w:sz w:val="24"/>
          <w:szCs w:val="24"/>
        </w:rPr>
        <w:t>.图书</w:t>
      </w:r>
      <w:r>
        <w:rPr>
          <w:rFonts w:hint="eastAsia" w:ascii="黑体" w:hAnsi="黑体" w:eastAsia="黑体" w:cs="宋体"/>
          <w:bCs w:val="0"/>
          <w:sz w:val="24"/>
          <w:szCs w:val="24"/>
        </w:rPr>
        <w:t>资料</w:t>
      </w:r>
      <w:bookmarkEnd w:id="169"/>
      <w:bookmarkEnd w:id="170"/>
      <w:bookmarkEnd w:id="171"/>
      <w:bookmarkEnd w:id="172"/>
      <w:bookmarkEnd w:id="173"/>
      <w:bookmarkEnd w:id="174"/>
      <w:bookmarkEnd w:id="175"/>
      <w:bookmarkEnd w:id="176"/>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学校坚持科学的文献资源建设原则，在保证纸质文献购买和充分利用的基础上，加强电子出版物和网上资源的收藏与整合利用。学校图书馆</w:t>
      </w:r>
      <w:r>
        <w:rPr>
          <w:rFonts w:hint="eastAsia" w:asciiTheme="minorEastAsia" w:hAnsiTheme="minorEastAsia" w:cstheme="minorEastAsia"/>
          <w:sz w:val="24"/>
          <w:szCs w:val="24"/>
        </w:rPr>
        <w:t>适用纸质藏书已</w:t>
      </w:r>
      <w:r>
        <w:rPr>
          <w:rFonts w:asciiTheme="minorEastAsia" w:hAnsiTheme="minorEastAsia" w:cstheme="minorEastAsia"/>
          <w:sz w:val="24"/>
          <w:szCs w:val="24"/>
        </w:rPr>
        <w:t>达</w:t>
      </w:r>
      <w:r>
        <w:rPr>
          <w:rFonts w:hint="eastAsia" w:asciiTheme="minorEastAsia" w:hAnsiTheme="minorEastAsia" w:cstheme="minorEastAsia"/>
          <w:sz w:val="24"/>
          <w:szCs w:val="24"/>
        </w:rPr>
        <w:t>95.19万</w:t>
      </w:r>
      <w:r>
        <w:rPr>
          <w:rFonts w:asciiTheme="minorEastAsia" w:hAnsiTheme="minorEastAsia" w:cstheme="minorEastAsia"/>
          <w:sz w:val="24"/>
          <w:szCs w:val="24"/>
        </w:rPr>
        <w:t>册</w:t>
      </w:r>
      <w:r>
        <w:rPr>
          <w:rFonts w:hint="eastAsia" w:asciiTheme="minorEastAsia" w:hAnsiTheme="minorEastAsia" w:cstheme="minorEastAsia"/>
          <w:sz w:val="24"/>
          <w:szCs w:val="24"/>
        </w:rPr>
        <w:t>，纸质期刊、报纸641 种，</w:t>
      </w:r>
      <w:r>
        <w:rPr>
          <w:rFonts w:asciiTheme="minorEastAsia" w:hAnsiTheme="minorEastAsia" w:cstheme="minorEastAsia"/>
          <w:sz w:val="24"/>
          <w:szCs w:val="24"/>
        </w:rPr>
        <w:t>生均图书</w:t>
      </w:r>
      <w:r>
        <w:rPr>
          <w:rFonts w:hint="eastAsia" w:asciiTheme="minorEastAsia" w:hAnsiTheme="minorEastAsia" w:cstheme="minorEastAsia"/>
          <w:sz w:val="24"/>
          <w:szCs w:val="24"/>
        </w:rPr>
        <w:t>81.97</w:t>
      </w:r>
      <w:r>
        <w:rPr>
          <w:rFonts w:asciiTheme="minorEastAsia" w:hAnsiTheme="minorEastAsia" w:cstheme="minorEastAsia"/>
          <w:sz w:val="24"/>
          <w:szCs w:val="24"/>
        </w:rPr>
        <w:t>册。电子图书47</w:t>
      </w:r>
      <w:r>
        <w:rPr>
          <w:rFonts w:hint="eastAsia" w:asciiTheme="minorEastAsia" w:hAnsiTheme="minorEastAsia" w:cstheme="minorEastAsia"/>
          <w:sz w:val="24"/>
          <w:szCs w:val="24"/>
        </w:rPr>
        <w:t>.</w:t>
      </w:r>
      <w:r>
        <w:rPr>
          <w:rFonts w:asciiTheme="minorEastAsia" w:hAnsiTheme="minorEastAsia" w:cstheme="minorEastAsia"/>
          <w:sz w:val="24"/>
          <w:szCs w:val="24"/>
        </w:rPr>
        <w:t>5</w:t>
      </w:r>
      <w:r>
        <w:rPr>
          <w:rFonts w:hint="eastAsia" w:asciiTheme="minorEastAsia" w:hAnsiTheme="minorEastAsia" w:cstheme="minorEastAsia"/>
          <w:sz w:val="24"/>
          <w:szCs w:val="24"/>
        </w:rPr>
        <w:t>6万册</w:t>
      </w:r>
      <w:r>
        <w:rPr>
          <w:rFonts w:asciiTheme="minorEastAsia" w:hAnsiTheme="minorEastAsia" w:cstheme="minorEastAsia"/>
          <w:sz w:val="24"/>
          <w:szCs w:val="24"/>
        </w:rPr>
        <w:t>，</w:t>
      </w:r>
      <w:r>
        <w:rPr>
          <w:rFonts w:hint="eastAsia" w:asciiTheme="minorEastAsia" w:hAnsiTheme="minorEastAsia" w:cstheme="minorEastAsia"/>
          <w:sz w:val="24"/>
          <w:szCs w:val="24"/>
        </w:rPr>
        <w:t>数据库5个，近三年来图书购置持续增长</w:t>
      </w:r>
      <w:r>
        <w:rPr>
          <w:rFonts w:asciiTheme="minorEastAsia" w:hAnsiTheme="minorEastAsia" w:cstheme="minorEastAsia"/>
          <w:sz w:val="24"/>
          <w:szCs w:val="24"/>
        </w:rPr>
        <w:t>（如</w:t>
      </w:r>
      <w:r>
        <w:rPr>
          <w:rFonts w:hint="eastAsia" w:asciiTheme="minorEastAsia" w:hAnsiTheme="minorEastAsia" w:cstheme="minorEastAsia"/>
          <w:sz w:val="24"/>
          <w:szCs w:val="24"/>
        </w:rPr>
        <w:t>表3-4江西服装学院图书资料情况表</w:t>
      </w:r>
      <w:r>
        <w:rPr>
          <w:rFonts w:asciiTheme="minorEastAsia" w:hAnsiTheme="minorEastAsia" w:cstheme="minorEastAsia"/>
          <w:sz w:val="24"/>
          <w:szCs w:val="24"/>
        </w:rPr>
        <w:t>所示）</w:t>
      </w:r>
      <w:r>
        <w:rPr>
          <w:rFonts w:hint="eastAsia" w:asciiTheme="minorEastAsia" w:hAnsiTheme="minorEastAsia" w:cstheme="minorEastAsia"/>
          <w:sz w:val="24"/>
          <w:szCs w:val="24"/>
        </w:rPr>
        <w:t>。</w:t>
      </w:r>
      <w:bookmarkStart w:id="177" w:name="_Toc430435305"/>
      <w:bookmarkEnd w:id="177"/>
    </w:p>
    <w:p>
      <w:pPr>
        <w:jc w:val="center"/>
        <w:rPr>
          <w:rFonts w:asciiTheme="minorEastAsia" w:hAnsiTheme="minorEastAsia" w:cstheme="minorEastAsia"/>
          <w:szCs w:val="21"/>
        </w:rPr>
      </w:pPr>
      <w:r>
        <w:rPr>
          <w:rFonts w:hint="eastAsia" w:asciiTheme="minorEastAsia" w:hAnsiTheme="minorEastAsia" w:cstheme="minorEastAsia"/>
          <w:szCs w:val="21"/>
        </w:rPr>
        <w:t xml:space="preserve">表3-4 </w:t>
      </w:r>
      <w:r>
        <w:rPr>
          <w:rFonts w:asciiTheme="minorEastAsia" w:hAnsiTheme="minorEastAsia" w:cstheme="minorEastAsia"/>
          <w:szCs w:val="21"/>
        </w:rPr>
        <w:t>江西服装学院</w:t>
      </w:r>
      <w:r>
        <w:rPr>
          <w:rFonts w:hint="eastAsia" w:asciiTheme="minorEastAsia" w:hAnsiTheme="minorEastAsia" w:cstheme="minorEastAsia"/>
          <w:szCs w:val="21"/>
        </w:rPr>
        <w:t>图书资料</w:t>
      </w:r>
      <w:r>
        <w:rPr>
          <w:rFonts w:asciiTheme="minorEastAsia" w:hAnsiTheme="minorEastAsia" w:cstheme="minorEastAsia"/>
          <w:szCs w:val="21"/>
        </w:rPr>
        <w:t>情况表</w:t>
      </w:r>
    </w:p>
    <w:tbl>
      <w:tblPr>
        <w:tblStyle w:val="15"/>
        <w:tblW w:w="73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3"/>
        <w:gridCol w:w="1939"/>
        <w:gridCol w:w="2226"/>
        <w:gridCol w:w="1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3" w:type="dxa"/>
            <w:vAlign w:val="center"/>
          </w:tcPr>
          <w:p>
            <w:pPr>
              <w:spacing w:line="400" w:lineRule="exact"/>
              <w:jc w:val="center"/>
              <w:rPr>
                <w:rFonts w:asciiTheme="minorEastAsia" w:hAnsiTheme="minorEastAsia" w:cstheme="minorEastAsia"/>
                <w:b/>
                <w:szCs w:val="21"/>
              </w:rPr>
            </w:pPr>
            <w:r>
              <w:rPr>
                <w:rFonts w:asciiTheme="minorEastAsia" w:hAnsiTheme="minorEastAsia" w:cstheme="minorEastAsia"/>
                <w:b/>
                <w:szCs w:val="21"/>
              </w:rPr>
              <w:t>年份</w:t>
            </w:r>
          </w:p>
        </w:tc>
        <w:tc>
          <w:tcPr>
            <w:tcW w:w="1939"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纸质图书（万册）</w:t>
            </w:r>
          </w:p>
        </w:tc>
        <w:tc>
          <w:tcPr>
            <w:tcW w:w="2226" w:type="dxa"/>
            <w:vAlign w:val="center"/>
          </w:tcPr>
          <w:p>
            <w:pPr>
              <w:spacing w:line="400" w:lineRule="exact"/>
              <w:jc w:val="center"/>
              <w:rPr>
                <w:rFonts w:asciiTheme="minorEastAsia" w:hAnsiTheme="minorEastAsia" w:cstheme="minorEastAsia"/>
                <w:b/>
                <w:szCs w:val="21"/>
              </w:rPr>
            </w:pPr>
            <w:r>
              <w:rPr>
                <w:rFonts w:asciiTheme="minorEastAsia" w:hAnsiTheme="minorEastAsia" w:cstheme="minorEastAsia"/>
                <w:b/>
                <w:color w:val="000000" w:themeColor="text1"/>
                <w:szCs w:val="21"/>
                <w14:textFill>
                  <w14:solidFill>
                    <w14:schemeClr w14:val="tx1"/>
                  </w14:solidFill>
                </w14:textFill>
              </w:rPr>
              <w:t>生均</w:t>
            </w:r>
            <w:r>
              <w:rPr>
                <w:rFonts w:hint="eastAsia" w:asciiTheme="minorEastAsia" w:hAnsiTheme="minorEastAsia" w:cstheme="minorEastAsia"/>
                <w:b/>
                <w:color w:val="000000" w:themeColor="text1"/>
                <w:szCs w:val="21"/>
                <w14:textFill>
                  <w14:solidFill>
                    <w14:schemeClr w14:val="tx1"/>
                  </w14:solidFill>
                </w14:textFill>
              </w:rPr>
              <w:t>纸质图书（册）</w:t>
            </w:r>
          </w:p>
        </w:tc>
        <w:tc>
          <w:tcPr>
            <w:tcW w:w="1818" w:type="dxa"/>
          </w:tcPr>
          <w:p>
            <w:pPr>
              <w:spacing w:line="400" w:lineRule="exact"/>
              <w:jc w:val="center"/>
              <w:rPr>
                <w:rFonts w:asciiTheme="minorEastAsia" w:hAnsiTheme="minorEastAsia" w:cstheme="minorEastAsia"/>
                <w:b/>
                <w:color w:val="000000" w:themeColor="text1"/>
                <w:szCs w:val="21"/>
                <w14:textFill>
                  <w14:solidFill>
                    <w14:schemeClr w14:val="tx1"/>
                  </w14:solidFill>
                </w14:textFill>
              </w:rPr>
            </w:pPr>
            <w:r>
              <w:rPr>
                <w:rFonts w:asciiTheme="minorEastAsia" w:hAnsiTheme="minorEastAsia" w:cstheme="minorEastAsia"/>
                <w:b/>
                <w:color w:val="000000" w:themeColor="text1"/>
                <w:szCs w:val="21"/>
                <w14:textFill>
                  <w14:solidFill>
                    <w14:schemeClr w14:val="tx1"/>
                  </w14:solidFill>
                </w14:textFill>
              </w:rPr>
              <w:t>电子图书</w:t>
            </w:r>
            <w:r>
              <w:rPr>
                <w:rFonts w:hint="eastAsia" w:asciiTheme="minorEastAsia" w:hAnsiTheme="minorEastAsia" w:cstheme="minorEastAsia"/>
                <w:b/>
                <w:color w:val="000000" w:themeColor="text1"/>
                <w:szCs w:val="21"/>
                <w14:textFill>
                  <w14:solidFill>
                    <w14:schemeClr w14:val="tx1"/>
                  </w14:solidFill>
                </w14:textFill>
              </w:rPr>
              <w:t>（万册）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3"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2013</w:t>
            </w:r>
          </w:p>
        </w:tc>
        <w:tc>
          <w:tcPr>
            <w:tcW w:w="1939" w:type="dxa"/>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82.95</w:t>
            </w:r>
          </w:p>
        </w:tc>
        <w:tc>
          <w:tcPr>
            <w:tcW w:w="2226" w:type="dxa"/>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85.51</w:t>
            </w:r>
          </w:p>
        </w:tc>
        <w:tc>
          <w:tcPr>
            <w:tcW w:w="1818" w:type="dxa"/>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3"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2014</w:t>
            </w:r>
          </w:p>
        </w:tc>
        <w:tc>
          <w:tcPr>
            <w:tcW w:w="1939"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83.16</w:t>
            </w:r>
          </w:p>
        </w:tc>
        <w:tc>
          <w:tcPr>
            <w:tcW w:w="2226" w:type="dxa"/>
            <w:vAlign w:val="center"/>
          </w:tcPr>
          <w:p>
            <w:pPr>
              <w:spacing w:line="40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72.46</w:t>
            </w:r>
          </w:p>
        </w:tc>
        <w:tc>
          <w:tcPr>
            <w:tcW w:w="1818" w:type="dxa"/>
          </w:tcPr>
          <w:p>
            <w:pPr>
              <w:spacing w:line="40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3" w:type="dxa"/>
            <w:vAlign w:val="center"/>
          </w:tcPr>
          <w:p>
            <w:pPr>
              <w:spacing w:line="400" w:lineRule="exact"/>
              <w:jc w:val="center"/>
              <w:rPr>
                <w:rFonts w:asciiTheme="minorEastAsia" w:hAnsiTheme="minorEastAsia" w:cstheme="minorEastAsia"/>
                <w:b/>
                <w:szCs w:val="21"/>
              </w:rPr>
            </w:pPr>
            <w:r>
              <w:rPr>
                <w:rFonts w:hint="eastAsia" w:asciiTheme="minorEastAsia" w:hAnsiTheme="minorEastAsia" w:cstheme="minorEastAsia"/>
                <w:b/>
                <w:szCs w:val="21"/>
              </w:rPr>
              <w:t>2015</w:t>
            </w:r>
          </w:p>
        </w:tc>
        <w:tc>
          <w:tcPr>
            <w:tcW w:w="1939" w:type="dxa"/>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Cs w:val="21"/>
              </w:rPr>
              <w:t>95.19</w:t>
            </w:r>
          </w:p>
        </w:tc>
        <w:tc>
          <w:tcPr>
            <w:tcW w:w="2226" w:type="dxa"/>
            <w:vAlign w:val="center"/>
          </w:tcPr>
          <w:p>
            <w:pPr>
              <w:spacing w:line="40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81.97</w:t>
            </w:r>
          </w:p>
        </w:tc>
        <w:tc>
          <w:tcPr>
            <w:tcW w:w="1818" w:type="dxa"/>
          </w:tcPr>
          <w:p>
            <w:pPr>
              <w:spacing w:line="40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47.56</w:t>
            </w:r>
          </w:p>
        </w:tc>
      </w:tr>
    </w:tbl>
    <w:p>
      <w:pPr>
        <w:pStyle w:val="2"/>
        <w:spacing w:before="0" w:after="0" w:line="240" w:lineRule="auto"/>
        <w:rPr>
          <w:rFonts w:ascii="黑体" w:hAnsi="黑体" w:eastAsia="黑体" w:cs="宋体"/>
          <w:b w:val="0"/>
          <w:bCs w:val="0"/>
          <w:snapToGrid w:val="0"/>
          <w:sz w:val="30"/>
          <w:szCs w:val="30"/>
        </w:rPr>
      </w:pPr>
      <w:bookmarkStart w:id="178" w:name="_Toc465671316"/>
      <w:bookmarkStart w:id="179" w:name="_Toc465499591"/>
      <w:bookmarkStart w:id="180" w:name="_Toc378000170"/>
      <w:bookmarkStart w:id="181" w:name="_Toc6823"/>
      <w:bookmarkStart w:id="182" w:name="_Toc465498459"/>
      <w:bookmarkStart w:id="183" w:name="_Toc3219"/>
      <w:bookmarkStart w:id="184" w:name="_Toc469900313"/>
      <w:bookmarkStart w:id="185" w:name="_Toc465433488"/>
      <w:bookmarkStart w:id="186" w:name="_Toc465417265"/>
      <w:bookmarkStart w:id="187" w:name="_Toc469036841"/>
      <w:r>
        <w:rPr>
          <w:rFonts w:hint="eastAsia" w:ascii="黑体" w:hAnsi="黑体" w:eastAsia="黑体" w:cs="宋体"/>
          <w:b w:val="0"/>
          <w:bCs w:val="0"/>
          <w:snapToGrid w:val="0"/>
          <w:sz w:val="30"/>
          <w:szCs w:val="30"/>
        </w:rPr>
        <w:t>四、教学建设与改革</w:t>
      </w:r>
      <w:bookmarkEnd w:id="178"/>
      <w:bookmarkEnd w:id="179"/>
      <w:bookmarkEnd w:id="180"/>
      <w:bookmarkEnd w:id="181"/>
      <w:bookmarkEnd w:id="182"/>
      <w:bookmarkEnd w:id="183"/>
      <w:bookmarkEnd w:id="184"/>
      <w:bookmarkEnd w:id="185"/>
      <w:bookmarkEnd w:id="186"/>
      <w:bookmarkEnd w:id="187"/>
    </w:p>
    <w:p>
      <w:pPr>
        <w:spacing w:line="400" w:lineRule="exact"/>
        <w:ind w:firstLine="480" w:firstLineChars="200"/>
        <w:jc w:val="both"/>
        <w:rPr>
          <w:rFonts w:asciiTheme="minorEastAsia" w:hAnsiTheme="minorEastAsia" w:cstheme="minorEastAsia"/>
          <w:sz w:val="24"/>
          <w:szCs w:val="24"/>
        </w:rPr>
      </w:pPr>
      <w:bookmarkStart w:id="188" w:name="_Toc378000171"/>
      <w:bookmarkStart w:id="189" w:name="_Toc14554"/>
      <w:r>
        <w:rPr>
          <w:rFonts w:hint="eastAsia" w:asciiTheme="minorEastAsia" w:hAnsiTheme="minorEastAsia" w:cstheme="minorEastAsia"/>
          <w:sz w:val="24"/>
          <w:szCs w:val="24"/>
        </w:rPr>
        <w:t>为了不断适应转型发展，尤其是我校开展本科教学以来的新形势和新要求，我们采取了一系列切实有效的教育教学改革措施，经过共同努力，取得了明显的成效。</w:t>
      </w:r>
    </w:p>
    <w:p>
      <w:pPr>
        <w:pStyle w:val="3"/>
        <w:spacing w:line="240" w:lineRule="auto"/>
        <w:ind w:left="0" w:firstLine="0" w:firstLineChars="0"/>
        <w:rPr>
          <w:rFonts w:ascii="黑体" w:hAnsi="黑体" w:cs="宋体"/>
          <w:b w:val="0"/>
          <w:bCs w:val="0"/>
          <w:snapToGrid/>
        </w:rPr>
      </w:pPr>
      <w:bookmarkStart w:id="190" w:name="_Toc469036842"/>
      <w:bookmarkStart w:id="191" w:name="_Toc465417266"/>
      <w:bookmarkStart w:id="192" w:name="_Toc774"/>
      <w:bookmarkStart w:id="193" w:name="_Toc465498460"/>
      <w:bookmarkStart w:id="194" w:name="_Toc465433489"/>
      <w:bookmarkStart w:id="195" w:name="_Toc469900314"/>
      <w:bookmarkStart w:id="196" w:name="_Toc465671317"/>
      <w:bookmarkStart w:id="197" w:name="_Toc465499592"/>
      <w:r>
        <w:rPr>
          <w:rFonts w:hint="eastAsia" w:ascii="黑体" w:hAnsi="黑体" w:cs="宋体"/>
          <w:b w:val="0"/>
          <w:bCs w:val="0"/>
          <w:snapToGrid/>
        </w:rPr>
        <w:t>（一）专业建设</w:t>
      </w:r>
      <w:bookmarkEnd w:id="188"/>
      <w:bookmarkEnd w:id="189"/>
      <w:bookmarkEnd w:id="190"/>
      <w:bookmarkEnd w:id="191"/>
      <w:bookmarkEnd w:id="192"/>
      <w:bookmarkEnd w:id="193"/>
      <w:bookmarkEnd w:id="194"/>
      <w:bookmarkEnd w:id="195"/>
      <w:bookmarkEnd w:id="196"/>
      <w:bookmarkEnd w:id="197"/>
    </w:p>
    <w:p>
      <w:pPr>
        <w:spacing w:line="400" w:lineRule="exact"/>
        <w:ind w:firstLine="480" w:firstLineChars="200"/>
        <w:jc w:val="both"/>
        <w:rPr>
          <w:rFonts w:asciiTheme="minorEastAsia" w:hAnsiTheme="minorEastAsia" w:cstheme="minorEastAsia"/>
          <w:sz w:val="24"/>
          <w:szCs w:val="24"/>
        </w:rPr>
      </w:pPr>
      <w:bookmarkStart w:id="198" w:name="_Toc378000172"/>
      <w:bookmarkStart w:id="199" w:name="_Toc16322"/>
      <w:r>
        <w:rPr>
          <w:rFonts w:asciiTheme="minorEastAsia" w:hAnsiTheme="minorEastAsia" w:cstheme="minorEastAsia"/>
          <w:sz w:val="24"/>
          <w:szCs w:val="24"/>
        </w:rPr>
        <w:t>学校鼓励各</w:t>
      </w:r>
      <w:r>
        <w:rPr>
          <w:rFonts w:hint="eastAsia" w:asciiTheme="minorEastAsia" w:hAnsiTheme="minorEastAsia" w:cstheme="minorEastAsia"/>
          <w:sz w:val="24"/>
          <w:szCs w:val="24"/>
        </w:rPr>
        <w:t>分</w:t>
      </w:r>
      <w:r>
        <w:rPr>
          <w:rFonts w:asciiTheme="minorEastAsia" w:hAnsiTheme="minorEastAsia" w:cstheme="minorEastAsia"/>
          <w:sz w:val="24"/>
          <w:szCs w:val="24"/>
        </w:rPr>
        <w:t>院围绕国家和社会发展对人才的需求，灵活设置并适时调整专业和专业方向，创办新型专业方向，形成科学合理的本科专业布局，专业设置既体现基础性和前瞻性的统一，又体现稳定性和灵活性的统一。</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在专业建设上，根据市场需求和自身优势，以本科教育为龙头，科学调整专业布局，不断提升面向服装行业发展、产业振兴和技术进步急需人才的培养能力，遵循国家和省政府关于加快现代高校教育的系列决策部署，确定了我校教育教学总体指导思想。目前全校本科新增至19个专业，拓展了“一体两翼”学科专业体系，构建了服务于地域经济建设、面向产业行业发展和技术进步急需人才培养的办学特色，促进了学校内涵建设发展。学校顺利获批学士学位授权单位，五个本科专业获得学士学位授权，实现了我校办校以来质的飞跃。2015年12月，省教育厅、省政府学位委员会对我校“十二五”重点学科进行终期验收，我校服装设计与工程重点学科顺利通过，被评为合格。</w:t>
      </w:r>
    </w:p>
    <w:p>
      <w:pPr>
        <w:jc w:val="center"/>
        <w:rPr>
          <w:rFonts w:ascii="宋体" w:hAnsi="宋体" w:cs="宋体"/>
          <w:szCs w:val="21"/>
        </w:rPr>
      </w:pPr>
      <w:r>
        <w:rPr>
          <w:rFonts w:hint="eastAsia" w:ascii="宋体" w:hAnsi="宋体" w:cs="宋体"/>
          <w:szCs w:val="21"/>
        </w:rPr>
        <w:t>表4</w:t>
      </w:r>
      <w:r>
        <w:rPr>
          <w:rFonts w:ascii="宋体" w:hAnsi="宋体" w:cs="宋体"/>
          <w:szCs w:val="21"/>
        </w:rPr>
        <w:t xml:space="preserve">-1 </w:t>
      </w:r>
      <w:r>
        <w:rPr>
          <w:rFonts w:hint="eastAsia" w:ascii="宋体" w:hAnsi="宋体" w:cs="宋体"/>
          <w:szCs w:val="21"/>
        </w:rPr>
        <w:t>本科专业（方向）设置一览表</w:t>
      </w:r>
    </w:p>
    <w:tbl>
      <w:tblPr>
        <w:tblStyle w:val="14"/>
        <w:tblW w:w="8194" w:type="dxa"/>
        <w:jc w:val="center"/>
        <w:tblInd w:w="0" w:type="dxa"/>
        <w:tblLayout w:type="fixed"/>
        <w:tblCellMar>
          <w:top w:w="0" w:type="dxa"/>
          <w:left w:w="0" w:type="dxa"/>
          <w:bottom w:w="0" w:type="dxa"/>
          <w:right w:w="0" w:type="dxa"/>
        </w:tblCellMar>
      </w:tblPr>
      <w:tblGrid>
        <w:gridCol w:w="1020"/>
        <w:gridCol w:w="3772"/>
        <w:gridCol w:w="1988"/>
        <w:gridCol w:w="1414"/>
      </w:tblGrid>
      <w:tr>
        <w:tblPrEx>
          <w:tblLayout w:type="fixed"/>
          <w:tblCellMar>
            <w:top w:w="0" w:type="dxa"/>
            <w:left w:w="0" w:type="dxa"/>
            <w:bottom w:w="0" w:type="dxa"/>
            <w:right w:w="0" w:type="dxa"/>
          </w:tblCellMar>
        </w:tblPrEx>
        <w:trPr>
          <w:trHeight w:val="360" w:hRule="atLeast"/>
          <w:tblHeader/>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b/>
                <w:bCs/>
                <w:szCs w:val="21"/>
              </w:rPr>
              <w:t>序号</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b/>
                <w:bCs/>
                <w:szCs w:val="21"/>
              </w:rPr>
              <w:t>专业名称</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b/>
                <w:bCs/>
                <w:szCs w:val="21"/>
              </w:rPr>
              <w:t>专业设置时间（年）</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b/>
                <w:bCs/>
                <w:szCs w:val="21"/>
              </w:rPr>
              <w:t>是否新专业</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服装设计与工程（设计实验班）</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服装设计与工程（工程实验班）</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3</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服装设计与工程（服装工程）</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4</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服装设计与工程（服装设计）</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5</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服装与服饰设计（实验）</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6</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环境设计</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7</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美术学(创意文化产业）</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2013</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8</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产品设计（服装产品设计）</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9</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广告学（服装广告策划与制作）</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10</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动画</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2014</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11</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艺术设计（环境艺术设计）</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12</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服装设计与工程（服装企业管理）</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13</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艺术设计（服装艺术设计）</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14</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广播电视编导（广播电视编导）</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2013</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15</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表演（广告模特与服装设计）</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16</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广告学（媒体广告策划与制作）</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17</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视觉传达设计</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18</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市场营销（服装营销）</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19</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软件工程（服装软件工程）</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2013</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表演（服装表演与营销）</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21</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广播电视编导（摄影与摄像）</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2013</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22</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国际经济与贸易（服装贸易）</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2012</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23</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服装设计与工程（服装设计实验）</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24</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服装与服饰设计</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25</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数字媒体艺术（媒体广告策划与制作）</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2012</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26</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广播电视编导（播音与主持）</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2013</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27</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纺织工程（面料艺术设计）</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2012</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28</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产品设计（服饰品设计师）</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29</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纺织工程（纺织材料与纺织品设计）</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2012</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30</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产品设计（鞋艺设计师）</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2011</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r>
        <w:tblPrEx>
          <w:tblLayout w:type="fixed"/>
          <w:tblCellMar>
            <w:top w:w="0" w:type="dxa"/>
            <w:left w:w="0" w:type="dxa"/>
            <w:bottom w:w="0" w:type="dxa"/>
            <w:right w:w="0" w:type="dxa"/>
          </w:tblCellMar>
        </w:tblPrEx>
        <w:trPr>
          <w:trHeight w:val="360" w:hRule="atLeast"/>
          <w:jc w:val="center"/>
        </w:trPr>
        <w:tc>
          <w:tcPr>
            <w:tcW w:w="102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31</w:t>
            </w:r>
          </w:p>
        </w:tc>
        <w:tc>
          <w:tcPr>
            <w:tcW w:w="377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电子商务（电子商务）</w:t>
            </w:r>
          </w:p>
        </w:tc>
        <w:tc>
          <w:tcPr>
            <w:tcW w:w="198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2014</w:t>
            </w:r>
          </w:p>
        </w:tc>
        <w:tc>
          <w:tcPr>
            <w:tcW w:w="141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是</w:t>
            </w:r>
          </w:p>
        </w:tc>
      </w:tr>
    </w:tbl>
    <w:p>
      <w:pPr>
        <w:pStyle w:val="3"/>
        <w:spacing w:line="240" w:lineRule="auto"/>
        <w:ind w:left="0" w:firstLine="0" w:firstLineChars="0"/>
        <w:rPr>
          <w:rFonts w:ascii="黑体" w:hAnsi="黑体" w:cs="宋体"/>
          <w:b w:val="0"/>
          <w:bCs w:val="0"/>
          <w:snapToGrid/>
        </w:rPr>
      </w:pPr>
      <w:bookmarkStart w:id="200" w:name="_Toc465499593"/>
      <w:bookmarkStart w:id="201" w:name="_Toc4563"/>
      <w:bookmarkStart w:id="202" w:name="_Toc469900315"/>
      <w:bookmarkStart w:id="203" w:name="_Toc465671318"/>
      <w:bookmarkStart w:id="204" w:name="_Toc469036843"/>
      <w:bookmarkStart w:id="205" w:name="_Toc465498461"/>
      <w:bookmarkStart w:id="206" w:name="_Toc465433490"/>
      <w:r>
        <w:rPr>
          <w:rFonts w:hint="eastAsia" w:ascii="黑体" w:hAnsi="黑体" w:cs="宋体"/>
          <w:b w:val="0"/>
          <w:bCs w:val="0"/>
          <w:snapToGrid/>
        </w:rPr>
        <w:t>（二）课程建设</w:t>
      </w:r>
      <w:bookmarkEnd w:id="200"/>
      <w:bookmarkEnd w:id="201"/>
      <w:bookmarkEnd w:id="202"/>
      <w:bookmarkEnd w:id="203"/>
      <w:bookmarkEnd w:id="204"/>
      <w:bookmarkEnd w:id="205"/>
      <w:bookmarkEnd w:id="206"/>
    </w:p>
    <w:p>
      <w:pPr>
        <w:spacing w:line="400" w:lineRule="exact"/>
        <w:ind w:firstLine="480" w:firstLineChars="200"/>
        <w:jc w:val="both"/>
        <w:rPr>
          <w:rFonts w:asciiTheme="minorEastAsia" w:hAnsiTheme="minorEastAsia" w:cstheme="minorEastAsia"/>
          <w:sz w:val="24"/>
          <w:szCs w:val="24"/>
        </w:rPr>
      </w:pPr>
      <w:bookmarkStart w:id="207" w:name="_Toc465417270"/>
      <w:r>
        <w:rPr>
          <w:rFonts w:asciiTheme="minorEastAsia" w:hAnsiTheme="minorEastAsia" w:cstheme="minorEastAsia"/>
          <w:sz w:val="24"/>
          <w:szCs w:val="24"/>
        </w:rPr>
        <w:t>学校课程建设</w:t>
      </w:r>
      <w:r>
        <w:rPr>
          <w:rFonts w:hint="eastAsia" w:asciiTheme="minorEastAsia" w:hAnsiTheme="minorEastAsia" w:cstheme="minorEastAsia"/>
          <w:sz w:val="24"/>
          <w:szCs w:val="24"/>
        </w:rPr>
        <w:t>是</w:t>
      </w:r>
      <w:r>
        <w:rPr>
          <w:rFonts w:asciiTheme="minorEastAsia" w:hAnsiTheme="minorEastAsia" w:cstheme="minorEastAsia"/>
          <w:sz w:val="24"/>
          <w:szCs w:val="24"/>
        </w:rPr>
        <w:t>教学改革的重点和基本抓手平台，始终把每一门课程都当成精品课程来建设。</w:t>
      </w:r>
      <w:r>
        <w:rPr>
          <w:rFonts w:hint="eastAsia" w:asciiTheme="minorEastAsia" w:hAnsiTheme="minorEastAsia" w:cstheme="minorEastAsia"/>
          <w:sz w:val="24"/>
          <w:szCs w:val="24"/>
        </w:rPr>
        <w:t>学校设立了课程建设专项经费，分3年投入，每年立项10-15门课程，建设期内重点资助40门课程，重点推进专业主干课和公共基础课的建设。</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教务处出台文件并启动了课程评估工作，连续开展了八届“优质课堂”主讲教师评选工作。在分院（部）评估的基础上，教务处成立了学校课程建设评估领导小组，对各分院（部）提交的课程建设评估验收报告进行评估。目前已有本科校级精品课程10门，省级精品课程《服装生产管理》、《服装效果图》、《服装品牌设计与企划》、《服装材料》和《服装工业制版》等6门，省级精品视频公开课《服装立体裁剪》、《服装材料学》2门，省级高校教学团队有服装设计专业和艺术设计专业2个。</w:t>
      </w:r>
    </w:p>
    <w:p>
      <w:pPr>
        <w:pStyle w:val="3"/>
        <w:spacing w:line="240" w:lineRule="auto"/>
        <w:ind w:left="0" w:firstLine="0" w:firstLineChars="0"/>
        <w:rPr>
          <w:rFonts w:ascii="黑体" w:hAnsi="黑体" w:cs="宋体"/>
          <w:b w:val="0"/>
          <w:bCs w:val="0"/>
          <w:snapToGrid/>
        </w:rPr>
      </w:pPr>
      <w:bookmarkStart w:id="208" w:name="_Toc465433491"/>
      <w:bookmarkStart w:id="209" w:name="_Toc465671319"/>
      <w:bookmarkStart w:id="210" w:name="_Toc469036844"/>
      <w:bookmarkStart w:id="211" w:name="_Toc25760"/>
      <w:bookmarkStart w:id="212" w:name="_Toc465499594"/>
      <w:bookmarkStart w:id="213" w:name="_Toc465498462"/>
      <w:bookmarkStart w:id="214" w:name="_Toc469900316"/>
      <w:r>
        <w:rPr>
          <w:rFonts w:hint="eastAsia" w:ascii="黑体" w:hAnsi="黑体" w:cs="宋体"/>
          <w:b w:val="0"/>
          <w:bCs w:val="0"/>
          <w:snapToGrid/>
        </w:rPr>
        <w:t>（三）教材建设</w:t>
      </w:r>
      <w:bookmarkEnd w:id="208"/>
      <w:bookmarkEnd w:id="209"/>
      <w:bookmarkEnd w:id="210"/>
      <w:bookmarkEnd w:id="211"/>
      <w:bookmarkEnd w:id="212"/>
      <w:bookmarkEnd w:id="213"/>
      <w:bookmarkEnd w:id="214"/>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学校以提高教学质量服务人才培养为目标，以专业建设为引领，以课程建设为驱动，以实施教材精品化战略和完善教材选用评价制度为着力点，修订了一批“十</w:t>
      </w:r>
      <w:r>
        <w:rPr>
          <w:rFonts w:hint="eastAsia" w:asciiTheme="minorEastAsia" w:hAnsiTheme="minorEastAsia" w:cstheme="minorEastAsia"/>
          <w:sz w:val="24"/>
          <w:szCs w:val="24"/>
        </w:rPr>
        <w:t>二</w:t>
      </w:r>
      <w:r>
        <w:rPr>
          <w:rFonts w:asciiTheme="minorEastAsia" w:hAnsiTheme="minorEastAsia" w:cstheme="minorEastAsia"/>
          <w:sz w:val="24"/>
          <w:szCs w:val="24"/>
        </w:rPr>
        <w:t>五”期间出版的优秀教材，重点建设了一批</w:t>
      </w:r>
      <w:r>
        <w:rPr>
          <w:rFonts w:hint="eastAsia" w:asciiTheme="minorEastAsia" w:hAnsiTheme="minorEastAsia" w:cstheme="minorEastAsia"/>
          <w:sz w:val="24"/>
          <w:szCs w:val="24"/>
        </w:rPr>
        <w:t>专业类精品</w:t>
      </w:r>
      <w:r>
        <w:rPr>
          <w:rFonts w:asciiTheme="minorEastAsia" w:hAnsiTheme="minorEastAsia" w:cstheme="minorEastAsia"/>
          <w:sz w:val="24"/>
          <w:szCs w:val="24"/>
        </w:rPr>
        <w:t>课程教材、省级以上开放课程配套教材、特色专业</w:t>
      </w:r>
      <w:r>
        <w:rPr>
          <w:rFonts w:hint="eastAsia" w:asciiTheme="minorEastAsia" w:hAnsiTheme="minorEastAsia" w:cstheme="minorEastAsia"/>
          <w:sz w:val="24"/>
          <w:szCs w:val="24"/>
        </w:rPr>
        <w:t>实践配套</w:t>
      </w:r>
      <w:r>
        <w:rPr>
          <w:rFonts w:asciiTheme="minorEastAsia" w:hAnsiTheme="minorEastAsia" w:cstheme="minorEastAsia"/>
          <w:sz w:val="24"/>
          <w:szCs w:val="24"/>
        </w:rPr>
        <w:t xml:space="preserve">教材。“十二五”期间学校共有 </w:t>
      </w:r>
      <w:r>
        <w:rPr>
          <w:rFonts w:hint="eastAsia" w:asciiTheme="minorEastAsia" w:hAnsiTheme="minorEastAsia" w:cstheme="minorEastAsia"/>
          <w:sz w:val="24"/>
          <w:szCs w:val="24"/>
        </w:rPr>
        <w:t>10余</w:t>
      </w:r>
      <w:r>
        <w:rPr>
          <w:rFonts w:asciiTheme="minorEastAsia" w:hAnsiTheme="minorEastAsia" w:cstheme="minorEastAsia"/>
          <w:sz w:val="24"/>
          <w:szCs w:val="24"/>
        </w:rPr>
        <w:t>本教材入选“十二五”规划教材</w:t>
      </w:r>
      <w:r>
        <w:rPr>
          <w:rFonts w:hint="eastAsia" w:asciiTheme="minorEastAsia" w:hAnsiTheme="minorEastAsia" w:cstheme="minorEastAsia"/>
          <w:sz w:val="24"/>
          <w:szCs w:val="24"/>
        </w:rPr>
        <w:t>。</w:t>
      </w:r>
      <w:r>
        <w:rPr>
          <w:rFonts w:asciiTheme="minorEastAsia" w:hAnsiTheme="minorEastAsia" w:cstheme="minorEastAsia"/>
          <w:sz w:val="24"/>
          <w:szCs w:val="24"/>
        </w:rPr>
        <w:t>学校出台了教材工作管理办法，鼓励教师积极选用“十二</w:t>
      </w:r>
      <w:bookmarkStart w:id="215" w:name="page19"/>
      <w:bookmarkEnd w:id="215"/>
      <w:r>
        <w:rPr>
          <w:rFonts w:asciiTheme="minorEastAsia" w:hAnsiTheme="minorEastAsia" w:cstheme="minorEastAsia"/>
          <w:sz w:val="24"/>
          <w:szCs w:val="24"/>
        </w:rPr>
        <w:t>五”国家级规划教材，并在选用过程中对教材进行不断的修订和更新，争取再造精品。与此同时，学校通过立项形式重点支持建设了一批系列化教材，如精品开放课程的配套系列教材。为激励教师积极编写和选用优秀教材，学校创新教材遴选评价机制，出台《教材工作管理办法》,这些文件的出台，为提高本科教学质量和人才培养质量发挥了积极作用。</w:t>
      </w:r>
    </w:p>
    <w:p>
      <w:pPr>
        <w:pStyle w:val="3"/>
        <w:spacing w:line="240" w:lineRule="auto"/>
        <w:ind w:left="0" w:firstLine="0" w:firstLineChars="0"/>
        <w:rPr>
          <w:rFonts w:ascii="黑体" w:hAnsi="黑体" w:cs="宋体"/>
          <w:b w:val="0"/>
          <w:bCs w:val="0"/>
          <w:snapToGrid/>
        </w:rPr>
      </w:pPr>
      <w:bookmarkStart w:id="216" w:name="_Toc465499595"/>
      <w:bookmarkStart w:id="217" w:name="_Toc469036845"/>
      <w:bookmarkStart w:id="218" w:name="_Toc469900317"/>
      <w:bookmarkStart w:id="219" w:name="_Toc465433492"/>
      <w:bookmarkStart w:id="220" w:name="_Toc465498463"/>
      <w:bookmarkStart w:id="221" w:name="_Toc465671320"/>
      <w:bookmarkStart w:id="222" w:name="_Toc10698"/>
      <w:r>
        <w:rPr>
          <w:rFonts w:hint="eastAsia" w:ascii="黑体" w:hAnsi="黑体" w:cs="宋体"/>
          <w:b w:val="0"/>
          <w:bCs w:val="0"/>
          <w:snapToGrid/>
        </w:rPr>
        <w:t>（四）教学改革</w:t>
      </w:r>
      <w:bookmarkEnd w:id="216"/>
      <w:bookmarkEnd w:id="217"/>
      <w:bookmarkEnd w:id="218"/>
      <w:bookmarkEnd w:id="219"/>
      <w:bookmarkEnd w:id="220"/>
      <w:bookmarkEnd w:id="221"/>
      <w:bookmarkEnd w:id="222"/>
    </w:p>
    <w:bookmarkEnd w:id="207"/>
    <w:p>
      <w:pPr>
        <w:spacing w:line="400" w:lineRule="exact"/>
        <w:ind w:firstLine="480" w:firstLineChars="200"/>
        <w:jc w:val="both"/>
        <w:rPr>
          <w:rFonts w:asciiTheme="minorEastAsia" w:hAnsiTheme="minorEastAsia" w:cstheme="minorEastAsia"/>
          <w:sz w:val="24"/>
          <w:szCs w:val="24"/>
        </w:rPr>
      </w:pPr>
      <w:bookmarkStart w:id="223" w:name="_Toc433736609"/>
      <w:r>
        <w:rPr>
          <w:rFonts w:asciiTheme="minorEastAsia" w:hAnsiTheme="minorEastAsia" w:cstheme="minorEastAsia"/>
          <w:sz w:val="24"/>
          <w:szCs w:val="24"/>
        </w:rPr>
        <w:t>2015 年 1 月</w:t>
      </w:r>
      <w:r>
        <w:rPr>
          <w:rFonts w:hint="eastAsia" w:asciiTheme="minorEastAsia" w:hAnsiTheme="minorEastAsia" w:cstheme="minorEastAsia"/>
          <w:sz w:val="24"/>
          <w:szCs w:val="24"/>
        </w:rPr>
        <w:t>学校</w:t>
      </w:r>
      <w:r>
        <w:rPr>
          <w:rFonts w:asciiTheme="minorEastAsia" w:hAnsiTheme="minorEastAsia" w:cstheme="minorEastAsia"/>
          <w:sz w:val="24"/>
          <w:szCs w:val="24"/>
        </w:rPr>
        <w:t>以“协同创新，提高人才培养质量”为主题召开人才培养工作会议，审议和研讨《深化</w:t>
      </w:r>
      <w:r>
        <w:rPr>
          <w:rFonts w:hint="eastAsia" w:asciiTheme="minorEastAsia" w:hAnsiTheme="minorEastAsia" w:cstheme="minorEastAsia"/>
          <w:sz w:val="24"/>
          <w:szCs w:val="24"/>
        </w:rPr>
        <w:t>应用型</w:t>
      </w:r>
      <w:r>
        <w:rPr>
          <w:rFonts w:asciiTheme="minorEastAsia" w:hAnsiTheme="minorEastAsia" w:cstheme="minorEastAsia"/>
          <w:sz w:val="24"/>
          <w:szCs w:val="24"/>
        </w:rPr>
        <w:t>本科人才培养改革实施方案》，进一步推进以深化人才培养模式改革为中心，以丰富人才培养优质资源，创新人才培养体制机制为两个基本点的人才培养体系改革。</w:t>
      </w:r>
      <w:r>
        <w:rPr>
          <w:rFonts w:hint="eastAsia" w:asciiTheme="minorEastAsia" w:hAnsiTheme="minorEastAsia" w:cstheme="minorEastAsia"/>
          <w:sz w:val="24"/>
          <w:szCs w:val="24"/>
        </w:rPr>
        <w:t>在教学管理改革上，积极进行校级教育教学相关顶层设计，并出台了一系列制度文件。通过采取更加规范、更具针对性的措施，进一步强化了教学教务运行管理、教学质量监控和保障体系建设，有效提升了办学的高度和水平，逐步建立了“学校治校、学院治学”的发展新机制。同时引进正方教学管理系统，加强了教学管理信息化建设，提高了日常教学工作的效率与质量。</w:t>
      </w:r>
    </w:p>
    <w:p>
      <w:pPr>
        <w:pStyle w:val="5"/>
        <w:spacing w:before="0" w:after="0" w:line="240" w:lineRule="auto"/>
        <w:rPr>
          <w:rFonts w:ascii="黑体" w:hAnsi="黑体" w:eastAsia="黑体" w:cs="宋体"/>
          <w:bCs w:val="0"/>
          <w:sz w:val="24"/>
          <w:szCs w:val="24"/>
        </w:rPr>
      </w:pPr>
      <w:bookmarkStart w:id="224" w:name="_Toc469036846"/>
      <w:bookmarkStart w:id="225" w:name="_Toc465498464"/>
      <w:bookmarkStart w:id="226" w:name="_Toc465499596"/>
      <w:bookmarkStart w:id="227" w:name="_Toc465671321"/>
      <w:bookmarkStart w:id="228" w:name="_Toc469900318"/>
      <w:bookmarkStart w:id="229" w:name="_Toc12298"/>
      <w:r>
        <w:rPr>
          <w:rFonts w:hint="eastAsia" w:ascii="黑体" w:hAnsi="黑体" w:eastAsia="黑体" w:cs="宋体"/>
          <w:bCs w:val="0"/>
          <w:sz w:val="24"/>
          <w:szCs w:val="24"/>
        </w:rPr>
        <w:t>1</w:t>
      </w:r>
      <w:r>
        <w:rPr>
          <w:rFonts w:ascii="黑体" w:hAnsi="黑体" w:eastAsia="黑体" w:cs="宋体"/>
          <w:bCs w:val="0"/>
          <w:sz w:val="24"/>
          <w:szCs w:val="24"/>
        </w:rPr>
        <w:t>.</w:t>
      </w:r>
      <w:r>
        <w:rPr>
          <w:rFonts w:hint="eastAsia" w:ascii="黑体" w:hAnsi="黑体" w:eastAsia="黑体" w:cs="宋体"/>
          <w:bCs w:val="0"/>
          <w:sz w:val="24"/>
          <w:szCs w:val="24"/>
        </w:rPr>
        <w:t>创新人才培养模式改革</w:t>
      </w:r>
      <w:bookmarkEnd w:id="224"/>
      <w:bookmarkEnd w:id="225"/>
      <w:bookmarkEnd w:id="226"/>
      <w:bookmarkEnd w:id="227"/>
      <w:bookmarkEnd w:id="228"/>
      <w:bookmarkEnd w:id="229"/>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学校结合专业发展前景、学生就业需求、社会经济发展需求，对周边地区产业发展动态进行适时研究，结合学校的办学定位和专业自身特色，及时调整专业及专业方向的设置，以培养能满足市场需求的人才。因材施教与分类培养是我校本专业人才培养的一个重要的办学特色，一方面由学生根据自己的学科基础和职业期望自愿选择专业方向；另一方面还根椐企业紧缺高水平服装设计师的需求，考核选拔了部分专业特长明显的学生，在第二或第三学期组建“卓越设计师”“卓越工程师”实验班。</w:t>
      </w:r>
    </w:p>
    <w:p>
      <w:pPr>
        <w:pStyle w:val="5"/>
        <w:spacing w:before="0" w:after="0" w:line="240" w:lineRule="auto"/>
        <w:rPr>
          <w:rFonts w:ascii="黑体" w:hAnsi="黑体" w:eastAsia="黑体" w:cs="宋体"/>
          <w:bCs w:val="0"/>
          <w:sz w:val="24"/>
          <w:szCs w:val="24"/>
        </w:rPr>
      </w:pPr>
      <w:bookmarkStart w:id="230" w:name="_Toc469900319"/>
      <w:bookmarkStart w:id="231" w:name="_Toc465671322"/>
      <w:bookmarkStart w:id="232" w:name="_Toc469036847"/>
      <w:bookmarkStart w:id="233" w:name="_Toc12480"/>
      <w:bookmarkStart w:id="234" w:name="_Toc465498465"/>
      <w:bookmarkStart w:id="235" w:name="_Toc465499597"/>
      <w:r>
        <w:rPr>
          <w:rFonts w:hint="eastAsia" w:ascii="黑体" w:hAnsi="黑体" w:eastAsia="黑体" w:cs="宋体"/>
          <w:bCs w:val="0"/>
          <w:sz w:val="24"/>
          <w:szCs w:val="24"/>
        </w:rPr>
        <w:t>2</w:t>
      </w:r>
      <w:r>
        <w:rPr>
          <w:rFonts w:ascii="黑体" w:hAnsi="黑体" w:eastAsia="黑体" w:cs="宋体"/>
          <w:bCs w:val="0"/>
          <w:sz w:val="24"/>
          <w:szCs w:val="24"/>
        </w:rPr>
        <w:t>.</w:t>
      </w:r>
      <w:r>
        <w:rPr>
          <w:rFonts w:hint="eastAsia" w:ascii="黑体" w:hAnsi="黑体" w:eastAsia="黑体" w:cs="宋体"/>
          <w:bCs w:val="0"/>
          <w:sz w:val="24"/>
          <w:szCs w:val="24"/>
        </w:rPr>
        <w:t>深化课程改革</w:t>
      </w:r>
      <w:bookmarkEnd w:id="230"/>
      <w:bookmarkEnd w:id="231"/>
      <w:bookmarkEnd w:id="232"/>
      <w:bookmarkEnd w:id="233"/>
      <w:bookmarkEnd w:id="234"/>
      <w:bookmarkEnd w:id="235"/>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根据学校的办学定位及应用技能型人才的培养目标，我们以培养学生应用能力、创新能力与增强职业素质为主线，对现有的学科结构、课程体系及其它教学环节进行了大胆地改革和创新，增设创新类课程，加大应用性教学力度，进一步重组和优化教学体系。遵循"产学对接、实境育人"的总模式要求，将课程体系与产业项目对接课程质量与职业标准，深入推进"课程内容对接岗位标准、实习实训对接现场项目、教学环境对接生产实境、学院师生对接企业员工、评价考核对接真实作品，提高人才培养质量。 在深化课程改革时与时俱进 ，大胆改革按专业课程体系的建设要求，围绕工作任务重新选择和组织课程内容；一方面与行业企业合作开发工学结合的优质核心课程，强化课程的整合性，精化专业核心课程；一方面减少专业课程的数量和刚性，提高课程挑战度。整合优化提升质量不断提高实践教学在教学计划中的比重。在校内外积极创造实训条件，把课堂延伸到企业，把生产车间引入到学校，实现教室与实训室的一体化，使学生实践工作过程完全模拟职业环境。探索并建立了相对独立的实践教学体系，教材均优先选用国家、省部级规划教材和国家精品课程教材及教指委推荐优秀教材，以及以典型工作任务为特色的自编教材。</w:t>
      </w:r>
    </w:p>
    <w:p>
      <w:pPr>
        <w:pStyle w:val="3"/>
        <w:spacing w:line="240" w:lineRule="auto"/>
        <w:ind w:left="0" w:firstLine="0" w:firstLineChars="0"/>
        <w:rPr>
          <w:rFonts w:ascii="黑体" w:hAnsi="黑体" w:cs="宋体"/>
          <w:b w:val="0"/>
          <w:bCs w:val="0"/>
          <w:snapToGrid/>
        </w:rPr>
      </w:pPr>
      <w:bookmarkStart w:id="236" w:name="_Toc465417271"/>
      <w:bookmarkStart w:id="237" w:name="_Toc30248"/>
      <w:bookmarkStart w:id="238" w:name="_Toc465671323"/>
      <w:bookmarkStart w:id="239" w:name="_Toc469036848"/>
      <w:bookmarkStart w:id="240" w:name="_Toc465499598"/>
      <w:bookmarkStart w:id="241" w:name="_Toc465433493"/>
      <w:bookmarkStart w:id="242" w:name="_Toc469900320"/>
      <w:bookmarkStart w:id="243" w:name="_Toc465498466"/>
      <w:r>
        <w:rPr>
          <w:rFonts w:hint="eastAsia" w:ascii="黑体" w:hAnsi="黑体" w:cs="宋体"/>
          <w:b w:val="0"/>
          <w:bCs w:val="0"/>
          <w:snapToGrid/>
        </w:rPr>
        <w:t>（五）</w:t>
      </w:r>
      <w:bookmarkEnd w:id="223"/>
      <w:bookmarkEnd w:id="236"/>
      <w:r>
        <w:rPr>
          <w:rFonts w:hint="eastAsia" w:ascii="黑体" w:hAnsi="黑体" w:cs="宋体"/>
          <w:b w:val="0"/>
          <w:bCs w:val="0"/>
          <w:snapToGrid/>
        </w:rPr>
        <w:t>实践教学</w:t>
      </w:r>
      <w:bookmarkEnd w:id="237"/>
      <w:bookmarkEnd w:id="238"/>
      <w:bookmarkEnd w:id="239"/>
      <w:bookmarkEnd w:id="240"/>
      <w:bookmarkEnd w:id="241"/>
      <w:bookmarkEnd w:id="242"/>
      <w:bookmarkEnd w:id="243"/>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学校坚持“知行合一、自主实践”的实践教学理念，积极夯实保障，丰富内涵，优化管理，推进改革，以实践创新能力培养为中心，积极推进实践教学体系的开放性和自主性，形成了具有特色的 “3+N”自主型实践教学体系。经多年建设，</w:t>
      </w:r>
      <w:r>
        <w:rPr>
          <w:rFonts w:hint="eastAsia" w:asciiTheme="minorEastAsia" w:hAnsiTheme="minorEastAsia" w:cstheme="minorEastAsia"/>
          <w:sz w:val="24"/>
          <w:szCs w:val="24"/>
        </w:rPr>
        <w:t>以中国纺织服装学会授牌的“纺织服装中国人才培养基地”（利郎公司基地、康柔集团基地、东蒙集团基地、新华瑞公司基地）为基础，共建项目多样化的综合性实习实训基地，分类制定专业实习和社会实践教学项目、内容和标准，承接学生的操作训练、顶岗生产、企业管理、市场调研、毕业设计（论文），提高实习实训和毕业设计（论文）质量。2015学年，37个本科专业方向，人文社科类专业方向实践教学学分占15.66%-55.99%之间，理工类专业方向实践教学学分占比达到60.73%。</w:t>
      </w:r>
    </w:p>
    <w:p>
      <w:pPr>
        <w:pStyle w:val="5"/>
        <w:spacing w:before="0" w:after="0" w:line="240" w:lineRule="auto"/>
        <w:rPr>
          <w:rFonts w:ascii="黑体" w:hAnsi="黑体" w:eastAsia="黑体" w:cs="宋体"/>
          <w:bCs w:val="0"/>
          <w:sz w:val="24"/>
          <w:szCs w:val="24"/>
        </w:rPr>
      </w:pPr>
      <w:bookmarkStart w:id="244" w:name="_Toc465671324"/>
      <w:bookmarkStart w:id="245" w:name="_Toc469900321"/>
      <w:bookmarkStart w:id="246" w:name="_Toc465499599"/>
      <w:bookmarkStart w:id="247" w:name="_Toc2439"/>
      <w:bookmarkStart w:id="248" w:name="_Toc469036849"/>
      <w:bookmarkStart w:id="249" w:name="_Toc465498467"/>
      <w:r>
        <w:rPr>
          <w:rFonts w:ascii="黑体" w:hAnsi="黑体" w:eastAsia="黑体" w:cs="宋体"/>
          <w:bCs w:val="0"/>
          <w:sz w:val="24"/>
          <w:szCs w:val="24"/>
        </w:rPr>
        <w:t>1.逐步完善实践教学体系，优化实践能力培养</w:t>
      </w:r>
      <w:bookmarkEnd w:id="244"/>
      <w:bookmarkEnd w:id="245"/>
      <w:bookmarkEnd w:id="246"/>
      <w:bookmarkEnd w:id="247"/>
      <w:bookmarkEnd w:id="248"/>
      <w:bookmarkEnd w:id="249"/>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实践教学体系在继承中优化发展，形成了分层次、模块化、全过程的“3+N”自主型实践教学体系，即以培养具备自主实践能力的高素质人才为目标，以保障条件建设为基础，以人才培养方案为依托，积极优化实施路径，逐级推进基础实践、专业实践和综合创新实践三层次实践能力培养，不断丰富实验课程、实习实训、学科竞赛、毕业论文（设计）等实践模块的内涵。</w:t>
      </w:r>
    </w:p>
    <w:p>
      <w:pPr>
        <w:pStyle w:val="5"/>
        <w:spacing w:before="0" w:after="0" w:line="240" w:lineRule="auto"/>
        <w:rPr>
          <w:rFonts w:ascii="黑体" w:hAnsi="黑体" w:eastAsia="黑体" w:cs="宋体"/>
          <w:bCs w:val="0"/>
          <w:sz w:val="24"/>
          <w:szCs w:val="24"/>
        </w:rPr>
      </w:pPr>
      <w:bookmarkStart w:id="250" w:name="_Toc465499600"/>
      <w:bookmarkStart w:id="251" w:name="_Toc465671325"/>
      <w:bookmarkStart w:id="252" w:name="_Toc13847"/>
      <w:bookmarkStart w:id="253" w:name="_Toc465498468"/>
      <w:bookmarkStart w:id="254" w:name="_Toc469900322"/>
      <w:bookmarkStart w:id="255" w:name="_Toc469036850"/>
      <w:r>
        <w:rPr>
          <w:rFonts w:ascii="黑体" w:hAnsi="黑体" w:eastAsia="黑体" w:cs="宋体"/>
          <w:bCs w:val="0"/>
          <w:sz w:val="24"/>
          <w:szCs w:val="24"/>
        </w:rPr>
        <w:t>2.强化实践教学平台建设，支撑实践教学体系</w:t>
      </w:r>
      <w:bookmarkEnd w:id="250"/>
      <w:bookmarkEnd w:id="251"/>
      <w:bookmarkEnd w:id="252"/>
      <w:bookmarkEnd w:id="253"/>
      <w:bookmarkEnd w:id="254"/>
      <w:bookmarkEnd w:id="255"/>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学校以</w:t>
      </w:r>
      <w:r>
        <w:rPr>
          <w:rFonts w:hint="eastAsia" w:asciiTheme="minorEastAsia" w:hAnsiTheme="minorEastAsia" w:cstheme="minorEastAsia"/>
          <w:sz w:val="24"/>
          <w:szCs w:val="24"/>
        </w:rPr>
        <w:t>省级</w:t>
      </w:r>
      <w:r>
        <w:rPr>
          <w:rFonts w:asciiTheme="minorEastAsia" w:hAnsiTheme="minorEastAsia" w:cstheme="minorEastAsia"/>
          <w:sz w:val="24"/>
          <w:szCs w:val="24"/>
        </w:rPr>
        <w:t>实践教学平台为建设目标，按照夯实基础，逐级培育，强化示范效应的建设思路，持续推进本科教学实验</w:t>
      </w:r>
      <w:r>
        <w:rPr>
          <w:rFonts w:hint="eastAsia" w:asciiTheme="minorEastAsia" w:hAnsiTheme="minorEastAsia" w:cstheme="minorEastAsia"/>
          <w:sz w:val="24"/>
          <w:szCs w:val="24"/>
        </w:rPr>
        <w:t>实训</w:t>
      </w:r>
      <w:r>
        <w:rPr>
          <w:rFonts w:asciiTheme="minorEastAsia" w:hAnsiTheme="minorEastAsia" w:cstheme="minorEastAsia"/>
          <w:sz w:val="24"/>
          <w:szCs w:val="24"/>
        </w:rPr>
        <w:t xml:space="preserve">室的改造升级，不断提升校外实践教学基地的支撑培养水平。目前，学校本科实验教学总面积达 </w:t>
      </w:r>
      <w:r>
        <w:rPr>
          <w:rFonts w:hint="eastAsia" w:asciiTheme="minorEastAsia" w:hAnsiTheme="minorEastAsia" w:cstheme="minorEastAsia"/>
          <w:sz w:val="24"/>
          <w:szCs w:val="24"/>
        </w:rPr>
        <w:t>2.43万</w:t>
      </w:r>
      <w:r>
        <w:rPr>
          <w:rFonts w:asciiTheme="minorEastAsia" w:hAnsiTheme="minorEastAsia" w:cstheme="minorEastAsia"/>
          <w:sz w:val="24"/>
          <w:szCs w:val="24"/>
        </w:rPr>
        <w:t xml:space="preserve">平方米，实验仪器设备总值约 </w:t>
      </w:r>
      <w:r>
        <w:rPr>
          <w:rFonts w:hint="eastAsia" w:asciiTheme="minorEastAsia" w:hAnsiTheme="minorEastAsia" w:cstheme="minorEastAsia"/>
          <w:sz w:val="24"/>
          <w:szCs w:val="24"/>
        </w:rPr>
        <w:t>3019.55万</w:t>
      </w:r>
      <w:r>
        <w:rPr>
          <w:rFonts w:asciiTheme="minorEastAsia" w:hAnsiTheme="minorEastAsia" w:cstheme="minorEastAsia"/>
          <w:sz w:val="24"/>
          <w:szCs w:val="24"/>
        </w:rPr>
        <w:t>元。已建成本科教学实验</w:t>
      </w:r>
      <w:r>
        <w:rPr>
          <w:rFonts w:hint="eastAsia" w:asciiTheme="minorEastAsia" w:hAnsiTheme="minorEastAsia" w:cstheme="minorEastAsia"/>
          <w:sz w:val="24"/>
          <w:szCs w:val="24"/>
        </w:rPr>
        <w:t>实训</w:t>
      </w:r>
      <w:r>
        <w:rPr>
          <w:rFonts w:asciiTheme="minorEastAsia" w:hAnsiTheme="minorEastAsia" w:cstheme="minorEastAsia"/>
          <w:sz w:val="24"/>
          <w:szCs w:val="24"/>
        </w:rPr>
        <w:t>室</w:t>
      </w:r>
      <w:r>
        <w:rPr>
          <w:rFonts w:hint="eastAsia" w:asciiTheme="minorEastAsia" w:hAnsiTheme="minorEastAsia" w:cstheme="minorEastAsia"/>
          <w:sz w:val="24"/>
          <w:szCs w:val="24"/>
        </w:rPr>
        <w:t>88</w:t>
      </w:r>
      <w:r>
        <w:rPr>
          <w:rFonts w:asciiTheme="minorEastAsia" w:hAnsiTheme="minorEastAsia" w:cstheme="minorEastAsia"/>
          <w:sz w:val="24"/>
          <w:szCs w:val="24"/>
        </w:rPr>
        <w:t>个</w:t>
      </w:r>
      <w:r>
        <w:rPr>
          <w:rFonts w:hint="eastAsia" w:asciiTheme="minorEastAsia" w:hAnsiTheme="minorEastAsia" w:cstheme="minorEastAsia"/>
          <w:sz w:val="24"/>
          <w:szCs w:val="24"/>
        </w:rPr>
        <w:t>，38个</w:t>
      </w:r>
      <w:r>
        <w:rPr>
          <w:rFonts w:asciiTheme="minorEastAsia" w:hAnsiTheme="minorEastAsia" w:cstheme="minorEastAsia"/>
          <w:sz w:val="24"/>
          <w:szCs w:val="24"/>
        </w:rPr>
        <w:t>校外实践教学基地</w:t>
      </w:r>
      <w:r>
        <w:rPr>
          <w:rFonts w:hint="eastAsia" w:asciiTheme="minorEastAsia" w:hAnsiTheme="minorEastAsia" w:cstheme="minorEastAsia"/>
          <w:sz w:val="24"/>
          <w:szCs w:val="24"/>
        </w:rPr>
        <w:t>。</w:t>
      </w:r>
    </w:p>
    <w:p>
      <w:pPr>
        <w:pStyle w:val="5"/>
        <w:spacing w:before="0" w:after="0" w:line="240" w:lineRule="auto"/>
        <w:rPr>
          <w:rFonts w:ascii="黑体" w:hAnsi="黑体" w:eastAsia="黑体" w:cs="宋体"/>
          <w:bCs w:val="0"/>
          <w:sz w:val="24"/>
          <w:szCs w:val="24"/>
        </w:rPr>
      </w:pPr>
      <w:bookmarkStart w:id="256" w:name="_Toc465671326"/>
      <w:bookmarkStart w:id="257" w:name="_Toc465498469"/>
      <w:bookmarkStart w:id="258" w:name="_Toc469036851"/>
      <w:bookmarkStart w:id="259" w:name="_Toc469900323"/>
      <w:bookmarkStart w:id="260" w:name="_Toc2057"/>
      <w:bookmarkStart w:id="261" w:name="_Toc465499601"/>
      <w:r>
        <w:rPr>
          <w:rFonts w:hint="eastAsia" w:ascii="黑体" w:hAnsi="黑体" w:eastAsia="黑体" w:cs="宋体"/>
          <w:bCs w:val="0"/>
          <w:sz w:val="24"/>
          <w:szCs w:val="24"/>
        </w:rPr>
        <w:t>3.</w:t>
      </w:r>
      <w:r>
        <w:rPr>
          <w:rFonts w:ascii="黑体" w:hAnsi="黑体" w:eastAsia="黑体" w:cs="宋体"/>
          <w:bCs w:val="0"/>
          <w:sz w:val="24"/>
          <w:szCs w:val="24"/>
        </w:rPr>
        <w:t>优化专业实习实践管理，提高实践育人质量</w:t>
      </w:r>
      <w:bookmarkEnd w:id="256"/>
      <w:bookmarkEnd w:id="257"/>
      <w:bookmarkEnd w:id="258"/>
      <w:bookmarkEnd w:id="259"/>
      <w:bookmarkEnd w:id="260"/>
      <w:bookmarkEnd w:id="261"/>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学校依托各学科良好</w:t>
      </w:r>
      <w:r>
        <w:rPr>
          <w:rFonts w:hint="eastAsia" w:asciiTheme="minorEastAsia" w:hAnsiTheme="minorEastAsia" w:cstheme="minorEastAsia"/>
          <w:sz w:val="24"/>
          <w:szCs w:val="24"/>
        </w:rPr>
        <w:t>的</w:t>
      </w:r>
      <w:r>
        <w:rPr>
          <w:rFonts w:asciiTheme="minorEastAsia" w:hAnsiTheme="minorEastAsia" w:cstheme="minorEastAsia"/>
          <w:sz w:val="24"/>
          <w:szCs w:val="24"/>
        </w:rPr>
        <w:t>产学研合作关系，通过与校外企事业单位、行业协会等共建了</w:t>
      </w:r>
      <w:r>
        <w:rPr>
          <w:rFonts w:hint="eastAsia" w:asciiTheme="minorEastAsia" w:hAnsiTheme="minorEastAsia" w:cstheme="minorEastAsia"/>
          <w:sz w:val="24"/>
          <w:szCs w:val="24"/>
        </w:rPr>
        <w:t>多</w:t>
      </w:r>
      <w:r>
        <w:rPr>
          <w:rFonts w:asciiTheme="minorEastAsia" w:hAnsiTheme="minorEastAsia" w:cstheme="minorEastAsia"/>
          <w:sz w:val="24"/>
          <w:szCs w:val="24"/>
        </w:rPr>
        <w:t>个实践教学基地，组织开展专业实习。并积极推进专业实习模式创新，陆续推进了</w:t>
      </w:r>
      <w:r>
        <w:rPr>
          <w:rFonts w:hint="eastAsia" w:asciiTheme="minorEastAsia" w:hAnsiTheme="minorEastAsia" w:cstheme="minorEastAsia"/>
          <w:sz w:val="24"/>
          <w:szCs w:val="24"/>
        </w:rPr>
        <w:t>跨</w:t>
      </w:r>
      <w:r>
        <w:rPr>
          <w:rFonts w:asciiTheme="minorEastAsia" w:hAnsiTheme="minorEastAsia" w:cstheme="minorEastAsia"/>
          <w:sz w:val="24"/>
          <w:szCs w:val="24"/>
        </w:rPr>
        <w:t>专业混合实习、暑期</w:t>
      </w:r>
      <w:r>
        <w:rPr>
          <w:rFonts w:hint="eastAsia" w:asciiTheme="minorEastAsia" w:hAnsiTheme="minorEastAsia" w:cstheme="minorEastAsia"/>
          <w:sz w:val="24"/>
          <w:szCs w:val="24"/>
        </w:rPr>
        <w:t>见</w:t>
      </w:r>
      <w:r>
        <w:rPr>
          <w:rFonts w:asciiTheme="minorEastAsia" w:hAnsiTheme="minorEastAsia" w:cstheme="minorEastAsia"/>
          <w:sz w:val="24"/>
          <w:szCs w:val="24"/>
        </w:rPr>
        <w:t>习模式改革</w:t>
      </w:r>
      <w:r>
        <w:rPr>
          <w:rFonts w:hint="eastAsia" w:asciiTheme="minorEastAsia" w:hAnsiTheme="minorEastAsia" w:cstheme="minorEastAsia"/>
          <w:sz w:val="24"/>
          <w:szCs w:val="24"/>
        </w:rPr>
        <w:t>。</w:t>
      </w:r>
    </w:p>
    <w:bookmarkEnd w:id="198"/>
    <w:bookmarkEnd w:id="199"/>
    <w:p>
      <w:pPr>
        <w:pStyle w:val="3"/>
        <w:spacing w:line="240" w:lineRule="auto"/>
        <w:ind w:left="0" w:firstLine="0" w:firstLineChars="0"/>
        <w:rPr>
          <w:rFonts w:ascii="黑体" w:hAnsi="黑体" w:cs="宋体"/>
          <w:b w:val="0"/>
          <w:bCs w:val="0"/>
          <w:snapToGrid/>
        </w:rPr>
      </w:pPr>
      <w:bookmarkStart w:id="262" w:name="_Toc469036852"/>
      <w:bookmarkStart w:id="263" w:name="_Toc10300"/>
      <w:bookmarkStart w:id="264" w:name="_Toc469900324"/>
      <w:bookmarkStart w:id="265" w:name="_Toc465433494"/>
      <w:bookmarkStart w:id="266" w:name="_Toc465499602"/>
      <w:bookmarkStart w:id="267" w:name="_Toc465498470"/>
      <w:bookmarkStart w:id="268" w:name="_Toc378000174"/>
      <w:bookmarkStart w:id="269" w:name="_Toc2392"/>
      <w:bookmarkStart w:id="270" w:name="_Toc465417285"/>
      <w:bookmarkStart w:id="271" w:name="_Toc465671327"/>
      <w:r>
        <w:rPr>
          <w:rFonts w:ascii="黑体" w:hAnsi="黑体" w:cs="宋体"/>
          <w:b w:val="0"/>
          <w:bCs w:val="0"/>
          <w:snapToGrid/>
        </w:rPr>
        <w:t>（</w:t>
      </w:r>
      <w:r>
        <w:rPr>
          <w:rFonts w:hint="eastAsia" w:ascii="黑体" w:hAnsi="黑体" w:cs="宋体"/>
          <w:b w:val="0"/>
          <w:bCs w:val="0"/>
          <w:snapToGrid/>
        </w:rPr>
        <w:t>六</w:t>
      </w:r>
      <w:r>
        <w:rPr>
          <w:rFonts w:ascii="黑体" w:hAnsi="黑体" w:cs="宋体"/>
          <w:b w:val="0"/>
          <w:bCs w:val="0"/>
          <w:snapToGrid/>
        </w:rPr>
        <w:t>）创新创业</w:t>
      </w:r>
      <w:r>
        <w:rPr>
          <w:rFonts w:hint="eastAsia" w:ascii="黑体" w:hAnsi="黑体" w:cs="宋体"/>
          <w:b w:val="0"/>
          <w:bCs w:val="0"/>
          <w:snapToGrid/>
        </w:rPr>
        <w:t>教育</w:t>
      </w:r>
      <w:bookmarkEnd w:id="262"/>
      <w:bookmarkEnd w:id="263"/>
      <w:bookmarkEnd w:id="264"/>
      <w:bookmarkEnd w:id="265"/>
      <w:bookmarkEnd w:id="266"/>
      <w:bookmarkEnd w:id="267"/>
      <w:bookmarkEnd w:id="268"/>
      <w:bookmarkEnd w:id="269"/>
      <w:bookmarkEnd w:id="270"/>
      <w:bookmarkEnd w:id="271"/>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学校多年来一直高度重视大学生创业教育，认真落实国家教育部相关创业教育的文件及会议精神，开设了创新创业教育基础课程。一</w:t>
      </w:r>
      <w:r>
        <w:rPr>
          <w:rFonts w:asciiTheme="minorEastAsia" w:hAnsiTheme="minorEastAsia" w:cstheme="minorEastAsia"/>
          <w:sz w:val="24"/>
          <w:szCs w:val="24"/>
        </w:rPr>
        <w:t>是“突出一门课程”，即对所有本科生开设“</w:t>
      </w:r>
      <w:r>
        <w:rPr>
          <w:rFonts w:hint="eastAsia" w:asciiTheme="minorEastAsia" w:hAnsiTheme="minorEastAsia" w:cstheme="minorEastAsia"/>
          <w:sz w:val="24"/>
          <w:szCs w:val="24"/>
        </w:rPr>
        <w:t>创新创业教育</w:t>
      </w:r>
      <w:r>
        <w:rPr>
          <w:rFonts w:asciiTheme="minorEastAsia" w:hAnsiTheme="minorEastAsia" w:cstheme="minorEastAsia"/>
          <w:sz w:val="24"/>
          <w:szCs w:val="24"/>
        </w:rPr>
        <w:t>”课程，进行思维定势突破</w:t>
      </w:r>
      <w:r>
        <w:rPr>
          <w:rFonts w:hint="eastAsia" w:asciiTheme="minorEastAsia" w:hAnsiTheme="minorEastAsia" w:cstheme="minorEastAsia"/>
          <w:sz w:val="24"/>
          <w:szCs w:val="24"/>
        </w:rPr>
        <w:t>、</w:t>
      </w:r>
      <w:r>
        <w:rPr>
          <w:rFonts w:asciiTheme="minorEastAsia" w:hAnsiTheme="minorEastAsia" w:cstheme="minorEastAsia"/>
          <w:sz w:val="24"/>
          <w:szCs w:val="24"/>
        </w:rPr>
        <w:t>想象力培养和创新创业基础能力教育；</w:t>
      </w:r>
      <w:r>
        <w:rPr>
          <w:rFonts w:hint="eastAsia" w:asciiTheme="minorEastAsia" w:hAnsiTheme="minorEastAsia" w:cstheme="minorEastAsia"/>
          <w:sz w:val="24"/>
          <w:szCs w:val="24"/>
        </w:rPr>
        <w:t>二</w:t>
      </w:r>
      <w:r>
        <w:rPr>
          <w:rFonts w:asciiTheme="minorEastAsia" w:hAnsiTheme="minorEastAsia" w:cstheme="minorEastAsia"/>
          <w:sz w:val="24"/>
          <w:szCs w:val="24"/>
        </w:rPr>
        <w:t>是“延伸第二课堂”，通过</w:t>
      </w:r>
      <w:r>
        <w:rPr>
          <w:rFonts w:hint="eastAsia" w:asciiTheme="minorEastAsia" w:hAnsiTheme="minorEastAsia" w:cstheme="minorEastAsia"/>
          <w:sz w:val="24"/>
          <w:szCs w:val="24"/>
        </w:rPr>
        <w:t>实验实训基地</w:t>
      </w:r>
      <w:r>
        <w:rPr>
          <w:rFonts w:asciiTheme="minorEastAsia" w:hAnsiTheme="minorEastAsia" w:cstheme="minorEastAsia"/>
          <w:sz w:val="24"/>
          <w:szCs w:val="24"/>
        </w:rPr>
        <w:t>和课外实训活动来完成创新设想，将理论与实践应用结合起来；</w:t>
      </w:r>
      <w:r>
        <w:rPr>
          <w:rFonts w:hint="eastAsia" w:asciiTheme="minorEastAsia" w:hAnsiTheme="minorEastAsia" w:cstheme="minorEastAsia"/>
          <w:sz w:val="24"/>
          <w:szCs w:val="24"/>
        </w:rPr>
        <w:t>三</w:t>
      </w:r>
      <w:r>
        <w:rPr>
          <w:rFonts w:asciiTheme="minorEastAsia" w:hAnsiTheme="minorEastAsia" w:cstheme="minorEastAsia"/>
          <w:sz w:val="24"/>
          <w:szCs w:val="24"/>
        </w:rPr>
        <w:t>是“</w:t>
      </w:r>
      <w:r>
        <w:rPr>
          <w:rFonts w:hint="eastAsia" w:asciiTheme="minorEastAsia" w:hAnsiTheme="minorEastAsia" w:cstheme="minorEastAsia"/>
          <w:sz w:val="24"/>
          <w:szCs w:val="24"/>
        </w:rPr>
        <w:t>三</w:t>
      </w:r>
      <w:r>
        <w:rPr>
          <w:rFonts w:asciiTheme="minorEastAsia" w:hAnsiTheme="minorEastAsia" w:cstheme="minorEastAsia"/>
          <w:sz w:val="24"/>
          <w:szCs w:val="24"/>
        </w:rPr>
        <w:t>项年度大赛”，即以院级</w:t>
      </w:r>
      <w:r>
        <w:rPr>
          <w:rFonts w:hint="eastAsia" w:asciiTheme="minorEastAsia" w:hAnsiTheme="minorEastAsia" w:cstheme="minorEastAsia"/>
          <w:sz w:val="24"/>
          <w:szCs w:val="24"/>
        </w:rPr>
        <w:t>、</w:t>
      </w:r>
      <w:r>
        <w:rPr>
          <w:rFonts w:asciiTheme="minorEastAsia" w:hAnsiTheme="minorEastAsia" w:cstheme="minorEastAsia"/>
          <w:sz w:val="24"/>
          <w:szCs w:val="24"/>
        </w:rPr>
        <w:t>校级和</w:t>
      </w:r>
      <w:r>
        <w:rPr>
          <w:rFonts w:hint="eastAsia" w:asciiTheme="minorEastAsia" w:hAnsiTheme="minorEastAsia" w:cstheme="minorEastAsia"/>
          <w:sz w:val="24"/>
          <w:szCs w:val="24"/>
        </w:rPr>
        <w:t>省</w:t>
      </w:r>
      <w:r>
        <w:rPr>
          <w:rFonts w:asciiTheme="minorEastAsia" w:hAnsiTheme="minorEastAsia" w:cstheme="minorEastAsia"/>
          <w:sz w:val="24"/>
          <w:szCs w:val="24"/>
        </w:rPr>
        <w:t>级服装设计师生作品大赛</w:t>
      </w:r>
      <w:r>
        <w:rPr>
          <w:rFonts w:hint="eastAsia" w:asciiTheme="minorEastAsia" w:hAnsiTheme="minorEastAsia" w:cstheme="minorEastAsia"/>
          <w:sz w:val="24"/>
          <w:szCs w:val="24"/>
        </w:rPr>
        <w:t>、中国</w:t>
      </w:r>
      <w:r>
        <w:rPr>
          <w:rFonts w:asciiTheme="minorEastAsia" w:hAnsiTheme="minorEastAsia" w:cstheme="minorEastAsia"/>
          <w:sz w:val="24"/>
          <w:szCs w:val="24"/>
        </w:rPr>
        <w:t>国际大学生时装周为平台，辅以各专业技能大赛，展示学生创新成果。学校通过技能培养、社会实践、社团组织、学科竞赛等平台，培养了学生的科技创新兴趣和能力。</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学校鼓励本科生参加校内创业大赛，并提供相关政策帮扶学生入驻学校创业孵化基地。2015年，校内创业教育项目“清澜区时差咖啡吧”和“时尚咖啡书吧”，即营造出集学习、温馨、高雅、休闲于一体的氛围，又带动和引导了学生开展创业活动</w:t>
      </w:r>
      <w:r>
        <w:rPr>
          <w:rFonts w:asciiTheme="minorEastAsia" w:hAnsiTheme="minorEastAsia" w:cstheme="minorEastAsia"/>
          <w:sz w:val="24"/>
          <w:szCs w:val="24"/>
        </w:rPr>
        <w:t>。</w:t>
      </w:r>
    </w:p>
    <w:p>
      <w:pPr>
        <w:spacing w:line="360" w:lineRule="auto"/>
        <w:jc w:val="center"/>
        <w:rPr>
          <w:rFonts w:ascii="宋体" w:hAnsi="宋体"/>
          <w:sz w:val="24"/>
        </w:rPr>
      </w:pPr>
      <w:r>
        <w:rPr>
          <w:rFonts w:ascii="宋体" w:hAnsi="宋体"/>
          <w:sz w:val="24"/>
        </w:rPr>
        <w:drawing>
          <wp:inline distT="0" distB="0" distL="0" distR="0">
            <wp:extent cx="2105660" cy="1561465"/>
            <wp:effectExtent l="5397"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rot="5400000">
                      <a:off x="0" y="0"/>
                      <a:ext cx="2155320" cy="1598238"/>
                    </a:xfrm>
                    <a:prstGeom prst="rect">
                      <a:avLst/>
                    </a:prstGeom>
                  </pic:spPr>
                </pic:pic>
              </a:graphicData>
            </a:graphic>
          </wp:inline>
        </w:drawing>
      </w:r>
      <w:r>
        <w:rPr>
          <w:rFonts w:ascii="宋体" w:hAnsi="宋体"/>
          <w:sz w:val="24"/>
        </w:rPr>
        <w:drawing>
          <wp:inline distT="0" distB="0" distL="0" distR="0">
            <wp:extent cx="2105660" cy="1586230"/>
            <wp:effectExtent l="0" t="6985" r="190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rot="5400000">
                      <a:off x="0" y="0"/>
                      <a:ext cx="2147649" cy="1618195"/>
                    </a:xfrm>
                    <a:prstGeom prst="rect">
                      <a:avLst/>
                    </a:prstGeom>
                  </pic:spPr>
                </pic:pic>
              </a:graphicData>
            </a:graphic>
          </wp:inline>
        </w:drawing>
      </w:r>
    </w:p>
    <w:p>
      <w:pPr>
        <w:jc w:val="center"/>
        <w:rPr>
          <w:rFonts w:asciiTheme="minorEastAsia" w:hAnsiTheme="minorEastAsia" w:cstheme="minorEastAsia"/>
          <w:szCs w:val="21"/>
        </w:rPr>
      </w:pPr>
      <w:r>
        <w:rPr>
          <w:rFonts w:hint="eastAsia" w:asciiTheme="minorEastAsia" w:hAnsiTheme="minorEastAsia" w:cstheme="minorEastAsia"/>
          <w:szCs w:val="21"/>
        </w:rPr>
        <w:t>图4-1学生创业教育项目时尚咖啡书吧</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2016年3月，</w:t>
      </w:r>
      <w:r>
        <w:rPr>
          <w:rFonts w:asciiTheme="minorEastAsia" w:hAnsiTheme="minorEastAsia" w:cstheme="minorEastAsia"/>
          <w:sz w:val="24"/>
          <w:szCs w:val="24"/>
        </w:rPr>
        <w:t>学校成立创业学院</w:t>
      </w:r>
      <w:r>
        <w:rPr>
          <w:rFonts w:hint="eastAsia" w:asciiTheme="minorEastAsia" w:hAnsiTheme="minorEastAsia" w:cstheme="minorEastAsia"/>
          <w:sz w:val="24"/>
          <w:szCs w:val="24"/>
        </w:rPr>
        <w:t>，</w:t>
      </w:r>
      <w:r>
        <w:rPr>
          <w:rFonts w:asciiTheme="minorEastAsia" w:hAnsiTheme="minorEastAsia" w:cstheme="minorEastAsia"/>
          <w:sz w:val="24"/>
          <w:szCs w:val="24"/>
        </w:rPr>
        <w:t>全面启动深化创新创业教育改革，深入实施创新创业行动计划，构建</w:t>
      </w:r>
      <w:r>
        <w:rPr>
          <w:rFonts w:hint="eastAsia" w:asciiTheme="minorEastAsia" w:hAnsiTheme="minorEastAsia" w:cstheme="minorEastAsia"/>
          <w:sz w:val="24"/>
          <w:szCs w:val="24"/>
        </w:rPr>
        <w:t>“二级分院培育，创业学院孵化，学校催化加速”的“三阶制”创新创业人才培养路径</w:t>
      </w:r>
      <w:r>
        <w:rPr>
          <w:rFonts w:asciiTheme="minorEastAsia" w:hAnsiTheme="minorEastAsia" w:cstheme="minorEastAsia"/>
          <w:sz w:val="24"/>
          <w:szCs w:val="24"/>
        </w:rPr>
        <w:t>。</w:t>
      </w:r>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一是抓孵化</w:t>
      </w:r>
      <w:r>
        <w:rPr>
          <w:rFonts w:hint="eastAsia" w:asciiTheme="minorEastAsia" w:hAnsiTheme="minorEastAsia" w:cstheme="minorEastAsia"/>
          <w:sz w:val="24"/>
          <w:szCs w:val="24"/>
        </w:rPr>
        <w:t>，</w:t>
      </w:r>
      <w:r>
        <w:rPr>
          <w:rFonts w:asciiTheme="minorEastAsia" w:hAnsiTheme="minorEastAsia" w:cstheme="minorEastAsia"/>
          <w:sz w:val="24"/>
          <w:szCs w:val="24"/>
        </w:rPr>
        <w:t>举办</w:t>
      </w:r>
      <w:r>
        <w:rPr>
          <w:rFonts w:hint="eastAsia" w:asciiTheme="minorEastAsia" w:hAnsiTheme="minorEastAsia" w:cstheme="minorEastAsia"/>
          <w:sz w:val="24"/>
          <w:szCs w:val="24"/>
        </w:rPr>
        <w:t>第九届大学生创业大赛，完美形象工作室、花非花工作室、手工皮具工作室、乐创服装工作室、心衣服装工作室、岁荣轩工作室等16个支创业团队成功入驻创业孵化基地。</w:t>
      </w:r>
    </w:p>
    <w:p>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drawing>
          <wp:inline distT="0" distB="0" distL="0" distR="0">
            <wp:extent cx="3840480" cy="2561590"/>
            <wp:effectExtent l="0" t="0" r="762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888105" cy="2593787"/>
                    </a:xfrm>
                    <a:prstGeom prst="rect">
                      <a:avLst/>
                    </a:prstGeom>
                  </pic:spPr>
                </pic:pic>
              </a:graphicData>
            </a:graphic>
          </wp:inline>
        </w:drawing>
      </w:r>
    </w:p>
    <w:p>
      <w:pPr>
        <w:jc w:val="center"/>
        <w:rPr>
          <w:rFonts w:asciiTheme="minorEastAsia" w:hAnsiTheme="minorEastAsia" w:cstheme="minorEastAsia"/>
          <w:szCs w:val="21"/>
        </w:rPr>
      </w:pPr>
      <w:r>
        <w:rPr>
          <w:rFonts w:hint="eastAsia" w:asciiTheme="minorEastAsia" w:hAnsiTheme="minorEastAsia" w:cstheme="minorEastAsia"/>
          <w:szCs w:val="21"/>
        </w:rPr>
        <w:t>图4-2 第九届大学生创业孵化基地入园仪式</w:t>
      </w:r>
    </w:p>
    <w:p>
      <w:pPr>
        <w:spacing w:line="400" w:lineRule="exact"/>
        <w:ind w:firstLine="480" w:firstLineChars="200"/>
        <w:jc w:val="both"/>
        <w:rPr>
          <w:rFonts w:asciiTheme="minorEastAsia" w:hAnsiTheme="minorEastAsia" w:cstheme="minorEastAsia"/>
          <w:szCs w:val="21"/>
        </w:rPr>
      </w:pPr>
      <w:r>
        <w:rPr>
          <w:rFonts w:hint="eastAsia" w:asciiTheme="minorEastAsia" w:hAnsiTheme="minorEastAsia" w:cstheme="minorEastAsia"/>
          <w:sz w:val="24"/>
          <w:szCs w:val="24"/>
        </w:rPr>
        <w:t>二是抓培育，通过第一期入驻创业学院项目评审会，南昌沫懿服饰有限公司、江西皇佳服饰有限公司、创世纪服装设计网络公司、佳禾网络科技有限公司、图图广告设计公司、江西雅信文化传媒有限公司、青春文化传播有限公司等9个项目顺利通过评审入驻创业学院。</w:t>
      </w:r>
    </w:p>
    <w:p>
      <w:pPr>
        <w:jc w:val="center"/>
        <w:rPr>
          <w:rFonts w:asciiTheme="minorEastAsia" w:hAnsiTheme="minorEastAsia" w:cstheme="minorEastAsia"/>
          <w:sz w:val="24"/>
          <w:szCs w:val="24"/>
        </w:rPr>
      </w:pPr>
      <w:r>
        <w:rPr>
          <w:rFonts w:asciiTheme="minorEastAsia" w:hAnsiTheme="minorEastAsia" w:cstheme="minorEastAsia"/>
          <w:sz w:val="24"/>
          <w:szCs w:val="24"/>
        </w:rPr>
        <w:drawing>
          <wp:inline distT="0" distB="0" distL="0" distR="0">
            <wp:extent cx="2030730" cy="2567305"/>
            <wp:effectExtent l="0" t="0" r="762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0" cstate="print">
                      <a:extLst>
                        <a:ext uri="{28A0092B-C50C-407E-A947-70E740481C1C}">
                          <a14:useLocalDpi xmlns:a14="http://schemas.microsoft.com/office/drawing/2010/main" val="0"/>
                        </a:ext>
                      </a:extLst>
                    </a:blip>
                    <a:srcRect l="22810" t="1" r="21898" b="-356"/>
                    <a:stretch>
                      <a:fillRect/>
                    </a:stretch>
                  </pic:blipFill>
                  <pic:spPr>
                    <a:xfrm>
                      <a:off x="0" y="0"/>
                      <a:ext cx="2041815" cy="2581571"/>
                    </a:xfrm>
                    <a:prstGeom prst="rect">
                      <a:avLst/>
                    </a:prstGeom>
                    <a:ln>
                      <a:noFill/>
                    </a:ln>
                  </pic:spPr>
                </pic:pic>
              </a:graphicData>
            </a:graphic>
          </wp:inline>
        </w:drawing>
      </w:r>
      <w:r>
        <w:rPr>
          <w:rFonts w:asciiTheme="minorEastAsia" w:hAnsiTheme="minorEastAsia" w:cstheme="minorEastAsia"/>
          <w:sz w:val="24"/>
          <w:szCs w:val="24"/>
        </w:rPr>
        <w:drawing>
          <wp:inline distT="0" distB="0" distL="0" distR="0">
            <wp:extent cx="2569845" cy="1779270"/>
            <wp:effectExtent l="0" t="4762"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rot="5400000">
                      <a:off x="0" y="0"/>
                      <a:ext cx="2599535" cy="1800268"/>
                    </a:xfrm>
                    <a:prstGeom prst="rect">
                      <a:avLst/>
                    </a:prstGeom>
                  </pic:spPr>
                </pic:pic>
              </a:graphicData>
            </a:graphic>
          </wp:inline>
        </w:drawing>
      </w:r>
    </w:p>
    <w:p>
      <w:pPr>
        <w:jc w:val="center"/>
        <w:rPr>
          <w:rFonts w:asciiTheme="minorEastAsia" w:hAnsiTheme="minorEastAsia" w:cstheme="minorEastAsia"/>
          <w:szCs w:val="21"/>
        </w:rPr>
      </w:pPr>
      <w:r>
        <w:rPr>
          <w:rFonts w:hint="eastAsia" w:asciiTheme="minorEastAsia" w:hAnsiTheme="minorEastAsia" w:cstheme="minorEastAsia"/>
          <w:szCs w:val="21"/>
        </w:rPr>
        <w:t>图4-3 入住创业学院培育项目门牌</w:t>
      </w:r>
    </w:p>
    <w:p>
      <w:pPr>
        <w:pStyle w:val="2"/>
        <w:spacing w:before="0" w:after="0" w:line="240" w:lineRule="auto"/>
        <w:rPr>
          <w:rFonts w:ascii="黑体" w:hAnsi="黑体" w:eastAsia="黑体" w:cs="宋体"/>
          <w:b w:val="0"/>
          <w:bCs w:val="0"/>
          <w:snapToGrid w:val="0"/>
          <w:sz w:val="30"/>
          <w:szCs w:val="30"/>
        </w:rPr>
      </w:pPr>
      <w:bookmarkStart w:id="272" w:name="_Toc465417287"/>
      <w:bookmarkStart w:id="273" w:name="_Toc465499603"/>
      <w:bookmarkStart w:id="274" w:name="_Toc465498471"/>
      <w:bookmarkStart w:id="275" w:name="_Toc469036853"/>
      <w:bookmarkStart w:id="276" w:name="_Toc465671328"/>
      <w:bookmarkStart w:id="277" w:name="_Toc465433495"/>
      <w:bookmarkStart w:id="278" w:name="_Toc28346"/>
      <w:bookmarkStart w:id="279" w:name="_Toc469900325"/>
      <w:r>
        <w:rPr>
          <w:rFonts w:hint="eastAsia" w:ascii="黑体" w:hAnsi="黑体" w:eastAsia="黑体" w:cs="宋体"/>
          <w:b w:val="0"/>
          <w:bCs w:val="0"/>
          <w:snapToGrid w:val="0"/>
          <w:sz w:val="30"/>
          <w:szCs w:val="30"/>
        </w:rPr>
        <w:t>五</w:t>
      </w:r>
      <w:r>
        <w:rPr>
          <w:rFonts w:ascii="黑体" w:hAnsi="黑体" w:eastAsia="黑体" w:cs="宋体"/>
          <w:b w:val="0"/>
          <w:bCs w:val="0"/>
          <w:snapToGrid w:val="0"/>
          <w:sz w:val="30"/>
          <w:szCs w:val="30"/>
        </w:rPr>
        <w:t>、质量保障体系</w:t>
      </w:r>
      <w:bookmarkEnd w:id="272"/>
      <w:bookmarkEnd w:id="273"/>
      <w:bookmarkEnd w:id="274"/>
      <w:bookmarkEnd w:id="275"/>
      <w:bookmarkEnd w:id="276"/>
      <w:bookmarkEnd w:id="277"/>
      <w:bookmarkEnd w:id="278"/>
      <w:bookmarkEnd w:id="279"/>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关注质量保障的全程性、全员性、全要素性，强调人才培养工作有计划、有实施、有保障、有改进，建立核心要素和关键环节教学质量标准，完善各级组织和制度保障，加强常态监控和专项评估，重视质量改进，构建了较为科学的教学质量保障体系。</w:t>
      </w:r>
    </w:p>
    <w:p>
      <w:pPr>
        <w:pStyle w:val="3"/>
        <w:spacing w:line="240" w:lineRule="auto"/>
        <w:ind w:left="0" w:firstLine="0" w:firstLineChars="0"/>
        <w:rPr>
          <w:rFonts w:ascii="黑体" w:hAnsi="黑体" w:cs="宋体"/>
          <w:b w:val="0"/>
          <w:bCs w:val="0"/>
          <w:snapToGrid/>
        </w:rPr>
      </w:pPr>
      <w:bookmarkStart w:id="280" w:name="_Toc465499604"/>
      <w:bookmarkStart w:id="281" w:name="_Toc465671329"/>
      <w:bookmarkStart w:id="282" w:name="_Toc469036854"/>
      <w:bookmarkStart w:id="283" w:name="_Toc465498472"/>
      <w:bookmarkStart w:id="284" w:name="_Toc469900326"/>
      <w:bookmarkStart w:id="285" w:name="_Toc10861"/>
      <w:r>
        <w:rPr>
          <w:rFonts w:ascii="黑体" w:hAnsi="黑体" w:cs="宋体"/>
          <w:b w:val="0"/>
          <w:bCs w:val="0"/>
          <w:snapToGrid/>
        </w:rPr>
        <w:t>（一）学校人才培养中心地位落实情况</w:t>
      </w:r>
      <w:bookmarkEnd w:id="280"/>
      <w:bookmarkEnd w:id="281"/>
      <w:bookmarkEnd w:id="282"/>
      <w:bookmarkEnd w:id="283"/>
      <w:bookmarkEnd w:id="284"/>
      <w:bookmarkEnd w:id="285"/>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学校坚持依法治校。遵循学校章程和学术委员会章程，充分发挥学术委员会教学指导与</w:t>
      </w:r>
      <w:r>
        <w:rPr>
          <w:rFonts w:hint="eastAsia" w:asciiTheme="minorEastAsia" w:hAnsiTheme="minorEastAsia" w:cstheme="minorEastAsia"/>
          <w:sz w:val="24"/>
          <w:szCs w:val="24"/>
        </w:rPr>
        <w:t>专业建设指导</w:t>
      </w:r>
      <w:r>
        <w:rPr>
          <w:rFonts w:asciiTheme="minorEastAsia" w:hAnsiTheme="minorEastAsia" w:cstheme="minorEastAsia"/>
          <w:sz w:val="24"/>
          <w:szCs w:val="24"/>
        </w:rPr>
        <w:t>委员会教学研究、咨询、指导和决策职能和教学督导教学监督、指导、评估、反馈等职能。学校坚持开展</w:t>
      </w:r>
      <w:r>
        <w:rPr>
          <w:rFonts w:hint="eastAsia" w:asciiTheme="minorEastAsia" w:hAnsiTheme="minorEastAsia" w:cstheme="minorEastAsia"/>
          <w:sz w:val="24"/>
          <w:szCs w:val="24"/>
        </w:rPr>
        <w:t>“</w:t>
      </w:r>
      <w:r>
        <w:rPr>
          <w:rFonts w:asciiTheme="minorEastAsia" w:hAnsiTheme="minorEastAsia" w:cstheme="minorEastAsia"/>
          <w:sz w:val="24"/>
          <w:szCs w:val="24"/>
        </w:rPr>
        <w:t>三个一</w:t>
      </w:r>
      <w:r>
        <w:rPr>
          <w:rFonts w:hint="eastAsia" w:asciiTheme="minorEastAsia" w:hAnsiTheme="minorEastAsia" w:cstheme="minorEastAsia"/>
          <w:sz w:val="24"/>
          <w:szCs w:val="24"/>
        </w:rPr>
        <w:t>”</w:t>
      </w:r>
      <w:r>
        <w:rPr>
          <w:rFonts w:asciiTheme="minorEastAsia" w:hAnsiTheme="minorEastAsia" w:cstheme="minorEastAsia"/>
          <w:sz w:val="24"/>
          <w:szCs w:val="24"/>
        </w:rPr>
        <w:t>工作。落实学校</w:t>
      </w:r>
      <w:r>
        <w:rPr>
          <w:rFonts w:hint="eastAsia" w:asciiTheme="minorEastAsia" w:hAnsiTheme="minorEastAsia" w:cstheme="minorEastAsia"/>
          <w:sz w:val="24"/>
          <w:szCs w:val="24"/>
        </w:rPr>
        <w:t>、</w:t>
      </w:r>
      <w:r>
        <w:rPr>
          <w:rFonts w:asciiTheme="minorEastAsia" w:hAnsiTheme="minorEastAsia" w:cstheme="minorEastAsia"/>
          <w:sz w:val="24"/>
          <w:szCs w:val="24"/>
        </w:rPr>
        <w:t>职能部门和二级学院领导积极了解和参与本科教学工作制度，开展各级领导深入本科人才培养一线的“三个一”工</w:t>
      </w:r>
      <w:r>
        <w:rPr>
          <w:rFonts w:hint="eastAsia" w:asciiTheme="minorEastAsia" w:hAnsiTheme="minorEastAsia" w:cstheme="minorEastAsia"/>
          <w:sz w:val="24"/>
          <w:szCs w:val="24"/>
        </w:rPr>
        <w:t>程</w:t>
      </w:r>
      <w:r>
        <w:rPr>
          <w:rFonts w:asciiTheme="minorEastAsia" w:hAnsiTheme="minorEastAsia" w:cstheme="minorEastAsia"/>
          <w:sz w:val="24"/>
          <w:szCs w:val="24"/>
        </w:rPr>
        <w:t>，提升人才培养质量。</w:t>
      </w:r>
      <w:r>
        <w:rPr>
          <w:rFonts w:hint="eastAsia" w:asciiTheme="minorEastAsia" w:hAnsiTheme="minorEastAsia" w:cstheme="minorEastAsia"/>
          <w:sz w:val="24"/>
          <w:szCs w:val="24"/>
        </w:rPr>
        <w:t>“一”</w:t>
      </w:r>
      <w:r>
        <w:rPr>
          <w:rFonts w:asciiTheme="minorEastAsia" w:hAnsiTheme="minorEastAsia" w:cstheme="minorEastAsia"/>
          <w:sz w:val="24"/>
          <w:szCs w:val="24"/>
        </w:rPr>
        <w:t>是各级领导参与开学教学检查、听课、期末巡考、论文答辩等；</w:t>
      </w:r>
      <w:r>
        <w:rPr>
          <w:rFonts w:hint="eastAsia" w:asciiTheme="minorEastAsia" w:hAnsiTheme="minorEastAsia" w:cstheme="minorEastAsia"/>
          <w:sz w:val="24"/>
          <w:szCs w:val="24"/>
        </w:rPr>
        <w:t>“一”</w:t>
      </w:r>
      <w:r>
        <w:rPr>
          <w:rFonts w:asciiTheme="minorEastAsia" w:hAnsiTheme="minorEastAsia" w:cstheme="minorEastAsia"/>
          <w:sz w:val="24"/>
          <w:szCs w:val="24"/>
        </w:rPr>
        <w:t>是各级领导参与开学典礼、毕业典礼、学生科研项目等</w:t>
      </w:r>
      <w:r>
        <w:rPr>
          <w:rFonts w:hint="eastAsia" w:asciiTheme="minorEastAsia" w:hAnsiTheme="minorEastAsia" w:cstheme="minorEastAsia"/>
          <w:sz w:val="24"/>
          <w:szCs w:val="24"/>
        </w:rPr>
        <w:t>；</w:t>
      </w:r>
      <w:r>
        <w:rPr>
          <w:rFonts w:asciiTheme="minorEastAsia" w:hAnsiTheme="minorEastAsia" w:cstheme="minorEastAsia"/>
          <w:sz w:val="24"/>
          <w:szCs w:val="24"/>
        </w:rPr>
        <w:t xml:space="preserve"> </w:t>
      </w:r>
      <w:r>
        <w:rPr>
          <w:rFonts w:hint="eastAsia" w:asciiTheme="minorEastAsia" w:hAnsiTheme="minorEastAsia" w:cstheme="minorEastAsia"/>
          <w:sz w:val="24"/>
          <w:szCs w:val="24"/>
        </w:rPr>
        <w:t>“一”</w:t>
      </w:r>
      <w:r>
        <w:rPr>
          <w:rFonts w:asciiTheme="minorEastAsia" w:hAnsiTheme="minorEastAsia" w:cstheme="minorEastAsia"/>
          <w:sz w:val="24"/>
          <w:szCs w:val="24"/>
        </w:rPr>
        <w:t>是各级领导参与专业实习、</w:t>
      </w:r>
      <w:r>
        <w:rPr>
          <w:rFonts w:hint="eastAsia" w:asciiTheme="minorEastAsia" w:hAnsiTheme="minorEastAsia" w:cstheme="minorEastAsia"/>
          <w:sz w:val="24"/>
          <w:szCs w:val="24"/>
        </w:rPr>
        <w:t>校外</w:t>
      </w:r>
      <w:r>
        <w:rPr>
          <w:rFonts w:asciiTheme="minorEastAsia" w:hAnsiTheme="minorEastAsia" w:cstheme="minorEastAsia"/>
          <w:sz w:val="24"/>
          <w:szCs w:val="24"/>
        </w:rPr>
        <w:t>社会实践活动。</w:t>
      </w:r>
    </w:p>
    <w:p>
      <w:pPr>
        <w:pStyle w:val="3"/>
        <w:spacing w:line="240" w:lineRule="auto"/>
        <w:ind w:left="0" w:firstLine="0" w:firstLineChars="0"/>
        <w:rPr>
          <w:rFonts w:ascii="黑体" w:hAnsi="黑体" w:cs="宋体"/>
          <w:b w:val="0"/>
          <w:bCs w:val="0"/>
          <w:snapToGrid/>
        </w:rPr>
      </w:pPr>
      <w:bookmarkStart w:id="286" w:name="_Toc465499605"/>
      <w:bookmarkStart w:id="287" w:name="_Toc465498473"/>
      <w:bookmarkStart w:id="288" w:name="_Toc469036855"/>
      <w:bookmarkStart w:id="289" w:name="_Toc469900327"/>
      <w:bookmarkStart w:id="290" w:name="_Toc465671330"/>
      <w:bookmarkStart w:id="291" w:name="_Toc31871"/>
      <w:r>
        <w:rPr>
          <w:rFonts w:ascii="黑体" w:hAnsi="黑体" w:cs="宋体"/>
          <w:b w:val="0"/>
          <w:bCs w:val="0"/>
          <w:snapToGrid/>
        </w:rPr>
        <w:t>（二）校领导班子研究本科教学工作情况、出台的相关政策措施</w:t>
      </w:r>
      <w:bookmarkEnd w:id="286"/>
      <w:bookmarkEnd w:id="287"/>
      <w:bookmarkEnd w:id="288"/>
      <w:bookmarkEnd w:id="289"/>
      <w:bookmarkEnd w:id="290"/>
      <w:bookmarkEnd w:id="291"/>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学校坚持</w:t>
      </w:r>
      <w:r>
        <w:rPr>
          <w:rFonts w:hint="eastAsia" w:asciiTheme="minorEastAsia" w:hAnsiTheme="minorEastAsia" w:cstheme="minorEastAsia"/>
          <w:sz w:val="24"/>
          <w:szCs w:val="24"/>
        </w:rPr>
        <w:t>每周</w:t>
      </w:r>
      <w:r>
        <w:rPr>
          <w:rFonts w:asciiTheme="minorEastAsia" w:hAnsiTheme="minorEastAsia" w:cstheme="minorEastAsia"/>
          <w:sz w:val="24"/>
          <w:szCs w:val="24"/>
        </w:rPr>
        <w:t>定期</w:t>
      </w:r>
      <w:r>
        <w:rPr>
          <w:rFonts w:hint="eastAsia" w:asciiTheme="minorEastAsia" w:hAnsiTheme="minorEastAsia" w:cstheme="minorEastAsia"/>
          <w:sz w:val="24"/>
          <w:szCs w:val="24"/>
        </w:rPr>
        <w:t>或</w:t>
      </w:r>
      <w:r>
        <w:rPr>
          <w:rFonts w:asciiTheme="minorEastAsia" w:hAnsiTheme="minorEastAsia" w:cstheme="minorEastAsia"/>
          <w:sz w:val="24"/>
          <w:szCs w:val="24"/>
        </w:rPr>
        <w:t>不定期</w:t>
      </w:r>
      <w:r>
        <w:rPr>
          <w:rFonts w:hint="eastAsia" w:asciiTheme="minorEastAsia" w:hAnsiTheme="minorEastAsia" w:cstheme="minorEastAsia"/>
          <w:sz w:val="24"/>
          <w:szCs w:val="24"/>
        </w:rPr>
        <w:t>召开校务会和</w:t>
      </w:r>
      <w:r>
        <w:rPr>
          <w:rFonts w:asciiTheme="minorEastAsia" w:hAnsiTheme="minorEastAsia" w:cstheme="minorEastAsia"/>
          <w:sz w:val="24"/>
          <w:szCs w:val="24"/>
        </w:rPr>
        <w:t>教学工作会议制度。确立人才培养的新理念和新目标，制订本科教学工作的新思路和新举措，研究和解决本科教学工作中的新情况和新问题。2015年学校以“改革体制机制，协同创新，提高人才培养质量”为主题召开人才培养工作会议，审议和研讨《深化</w:t>
      </w:r>
      <w:r>
        <w:rPr>
          <w:rFonts w:hint="eastAsia" w:asciiTheme="minorEastAsia" w:hAnsiTheme="minorEastAsia" w:cstheme="minorEastAsia"/>
          <w:sz w:val="24"/>
          <w:szCs w:val="24"/>
        </w:rPr>
        <w:t>应用型</w:t>
      </w:r>
      <w:r>
        <w:rPr>
          <w:rFonts w:asciiTheme="minorEastAsia" w:hAnsiTheme="minorEastAsia" w:cstheme="minorEastAsia"/>
          <w:sz w:val="24"/>
          <w:szCs w:val="24"/>
        </w:rPr>
        <w:t>本科人才培养改革实施方案》。校</w:t>
      </w:r>
      <w:r>
        <w:rPr>
          <w:rFonts w:hint="eastAsia" w:asciiTheme="minorEastAsia" w:hAnsiTheme="minorEastAsia" w:cstheme="minorEastAsia"/>
          <w:sz w:val="24"/>
          <w:szCs w:val="24"/>
        </w:rPr>
        <w:t>务会</w:t>
      </w:r>
      <w:r>
        <w:rPr>
          <w:rFonts w:asciiTheme="minorEastAsia" w:hAnsiTheme="minorEastAsia" w:cstheme="minorEastAsia"/>
          <w:sz w:val="24"/>
          <w:szCs w:val="24"/>
        </w:rPr>
        <w:t>审议了新增本科专业申报、学校创业学院实体化实施方案、</w:t>
      </w:r>
      <w:r>
        <w:rPr>
          <w:rFonts w:hint="eastAsia" w:asciiTheme="minorEastAsia" w:hAnsiTheme="minorEastAsia" w:cstheme="minorEastAsia"/>
          <w:sz w:val="24"/>
          <w:szCs w:val="24"/>
        </w:rPr>
        <w:t>“创、转、评”</w:t>
      </w:r>
      <w:r>
        <w:rPr>
          <w:rFonts w:asciiTheme="minorEastAsia" w:hAnsiTheme="minorEastAsia" w:cstheme="minorEastAsia"/>
          <w:sz w:val="24"/>
          <w:szCs w:val="24"/>
        </w:rPr>
        <w:t>工作方案、调整201</w:t>
      </w:r>
      <w:r>
        <w:rPr>
          <w:rFonts w:hint="eastAsia" w:asciiTheme="minorEastAsia" w:hAnsiTheme="minorEastAsia" w:cstheme="minorEastAsia"/>
          <w:sz w:val="24"/>
          <w:szCs w:val="24"/>
        </w:rPr>
        <w:t>6</w:t>
      </w:r>
      <w:r>
        <w:rPr>
          <w:rFonts w:asciiTheme="minorEastAsia" w:hAnsiTheme="minorEastAsia" w:cstheme="minorEastAsia"/>
          <w:sz w:val="24"/>
          <w:szCs w:val="24"/>
        </w:rPr>
        <w:t>年本科招生计划分配方式</w:t>
      </w:r>
      <w:r>
        <w:rPr>
          <w:rFonts w:hint="eastAsia" w:asciiTheme="minorEastAsia" w:hAnsiTheme="minorEastAsia" w:cstheme="minorEastAsia"/>
          <w:sz w:val="24"/>
          <w:szCs w:val="24"/>
        </w:rPr>
        <w:t>、</w:t>
      </w:r>
      <w:r>
        <w:rPr>
          <w:rFonts w:asciiTheme="minorEastAsia" w:hAnsiTheme="minorEastAsia" w:cstheme="minorEastAsia"/>
          <w:sz w:val="24"/>
          <w:szCs w:val="24"/>
        </w:rPr>
        <w:t>第校级教学成果奖拟报项目等议题。</w:t>
      </w:r>
    </w:p>
    <w:p>
      <w:pPr>
        <w:pStyle w:val="3"/>
        <w:spacing w:line="240" w:lineRule="auto"/>
        <w:ind w:left="0" w:firstLine="0" w:firstLineChars="0"/>
        <w:rPr>
          <w:rFonts w:ascii="黑体" w:hAnsi="黑体" w:cs="宋体"/>
          <w:b w:val="0"/>
          <w:bCs w:val="0"/>
          <w:snapToGrid/>
        </w:rPr>
      </w:pPr>
      <w:bookmarkStart w:id="292" w:name="_Toc20298"/>
      <w:bookmarkStart w:id="293" w:name="_Toc378000176"/>
      <w:bookmarkStart w:id="294" w:name="_Toc465671331"/>
      <w:bookmarkStart w:id="295" w:name="_Toc469900328"/>
      <w:bookmarkStart w:id="296" w:name="_Toc469036856"/>
      <w:bookmarkStart w:id="297" w:name="_Toc465433498"/>
      <w:bookmarkStart w:id="298" w:name="_Toc465498474"/>
      <w:bookmarkStart w:id="299" w:name="_Toc465417288"/>
      <w:bookmarkStart w:id="300" w:name="_Toc7869"/>
      <w:bookmarkStart w:id="301" w:name="_Toc465499606"/>
      <w:r>
        <w:rPr>
          <w:rFonts w:ascii="黑体" w:hAnsi="黑体" w:cs="宋体"/>
          <w:b w:val="0"/>
          <w:bCs w:val="0"/>
          <w:snapToGrid/>
        </w:rPr>
        <w:t>（</w:t>
      </w:r>
      <w:r>
        <w:rPr>
          <w:rFonts w:hint="eastAsia" w:ascii="黑体" w:hAnsi="黑体" w:cs="宋体"/>
          <w:b w:val="0"/>
          <w:bCs w:val="0"/>
          <w:snapToGrid/>
        </w:rPr>
        <w:t>三</w:t>
      </w:r>
      <w:r>
        <w:rPr>
          <w:rFonts w:ascii="黑体" w:hAnsi="黑体" w:cs="宋体"/>
          <w:b w:val="0"/>
          <w:bCs w:val="0"/>
          <w:snapToGrid/>
        </w:rPr>
        <w:t>）教学质量</w:t>
      </w:r>
      <w:r>
        <w:rPr>
          <w:rFonts w:hint="eastAsia" w:ascii="黑体" w:hAnsi="黑体" w:cs="宋体"/>
          <w:b w:val="0"/>
          <w:bCs w:val="0"/>
          <w:snapToGrid/>
        </w:rPr>
        <w:t>管理与监控</w:t>
      </w:r>
      <w:r>
        <w:rPr>
          <w:rFonts w:ascii="黑体" w:hAnsi="黑体" w:cs="宋体"/>
          <w:b w:val="0"/>
          <w:bCs w:val="0"/>
          <w:snapToGrid/>
        </w:rPr>
        <w:t>体系</w:t>
      </w:r>
      <w:bookmarkEnd w:id="292"/>
      <w:bookmarkEnd w:id="293"/>
      <w:bookmarkEnd w:id="294"/>
      <w:bookmarkEnd w:id="295"/>
      <w:bookmarkEnd w:id="296"/>
      <w:bookmarkEnd w:id="297"/>
      <w:bookmarkEnd w:id="298"/>
      <w:bookmarkEnd w:id="299"/>
      <w:bookmarkEnd w:id="300"/>
      <w:bookmarkEnd w:id="301"/>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 xml:space="preserve">教学质量管理与监控体系包括教学决策系统、教学运行系统、教学监测评估系统及教学质量标准体系。质量标准是教学质量管理与监控体系的核心。质量标准来源于教学决策系统确定的“人才培养的基本要求”，是教学运行系统的工作目标和教学监测评估系统的依据。 </w:t>
      </w:r>
    </w:p>
    <w:p>
      <w:pPr>
        <w:pStyle w:val="5"/>
        <w:spacing w:before="0" w:after="0" w:line="240" w:lineRule="auto"/>
        <w:rPr>
          <w:rFonts w:ascii="黑体" w:hAnsi="黑体" w:eastAsia="黑体" w:cs="宋体"/>
          <w:bCs w:val="0"/>
          <w:sz w:val="24"/>
          <w:szCs w:val="24"/>
        </w:rPr>
      </w:pPr>
      <w:bookmarkStart w:id="302" w:name="_Toc469036857"/>
      <w:bookmarkStart w:id="303" w:name="_Toc14038"/>
      <w:bookmarkStart w:id="304" w:name="_Toc469900329"/>
      <w:bookmarkStart w:id="305" w:name="_Toc465671332"/>
      <w:bookmarkStart w:id="306" w:name="_Toc465499607"/>
      <w:r>
        <w:rPr>
          <w:rFonts w:hint="eastAsia" w:ascii="黑体" w:hAnsi="黑体" w:eastAsia="黑体" w:cs="宋体"/>
          <w:bCs w:val="0"/>
          <w:sz w:val="24"/>
          <w:szCs w:val="24"/>
        </w:rPr>
        <w:t>1.</w:t>
      </w:r>
      <w:r>
        <w:rPr>
          <w:rFonts w:ascii="黑体" w:hAnsi="黑体" w:eastAsia="黑体" w:cs="宋体"/>
          <w:bCs w:val="0"/>
          <w:sz w:val="24"/>
          <w:szCs w:val="24"/>
        </w:rPr>
        <w:t>构建质量保障体系，确保教学质量</w:t>
      </w:r>
      <w:bookmarkEnd w:id="302"/>
      <w:bookmarkEnd w:id="303"/>
      <w:bookmarkEnd w:id="304"/>
      <w:bookmarkEnd w:id="305"/>
      <w:bookmarkEnd w:id="306"/>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学校以培养“追求卓越、自主</w:t>
      </w:r>
      <w:r>
        <w:rPr>
          <w:rFonts w:hint="eastAsia" w:asciiTheme="minorEastAsia" w:hAnsiTheme="minorEastAsia" w:cstheme="minorEastAsia"/>
          <w:sz w:val="24"/>
          <w:szCs w:val="24"/>
        </w:rPr>
        <w:t>创新</w:t>
      </w:r>
      <w:r>
        <w:rPr>
          <w:rFonts w:asciiTheme="minorEastAsia" w:hAnsiTheme="minorEastAsia" w:cstheme="minorEastAsia"/>
          <w:sz w:val="24"/>
          <w:szCs w:val="24"/>
        </w:rPr>
        <w:t>发展”的高素质</w:t>
      </w:r>
      <w:r>
        <w:rPr>
          <w:rFonts w:hint="eastAsia" w:asciiTheme="minorEastAsia" w:hAnsiTheme="minorEastAsia" w:cstheme="minorEastAsia"/>
          <w:sz w:val="24"/>
          <w:szCs w:val="24"/>
        </w:rPr>
        <w:t>应用型</w:t>
      </w:r>
      <w:r>
        <w:rPr>
          <w:rFonts w:asciiTheme="minorEastAsia" w:hAnsiTheme="minorEastAsia" w:cstheme="minorEastAsia"/>
          <w:sz w:val="24"/>
          <w:szCs w:val="24"/>
        </w:rPr>
        <w:t>人才为目标，以</w:t>
      </w:r>
      <w:r>
        <w:rPr>
          <w:rFonts w:hint="eastAsia" w:asciiTheme="minorEastAsia" w:hAnsiTheme="minorEastAsia" w:cstheme="minorEastAsia"/>
          <w:sz w:val="24"/>
          <w:szCs w:val="24"/>
        </w:rPr>
        <w:t>地方</w:t>
      </w:r>
      <w:r>
        <w:rPr>
          <w:rFonts w:asciiTheme="minorEastAsia" w:hAnsiTheme="minorEastAsia" w:cstheme="minorEastAsia"/>
          <w:sz w:val="24"/>
          <w:szCs w:val="24"/>
        </w:rPr>
        <w:t>区域经济社会发展需求、学生和社会用人单位满意度为导向，学校通过目标保障、组织保障、制度保障、评价保障、激励与约束保障构建了“五位一体”的本科教学质量保障体系。</w:t>
      </w:r>
    </w:p>
    <w:p>
      <w:pPr>
        <w:pStyle w:val="5"/>
        <w:spacing w:before="0" w:after="0" w:line="240" w:lineRule="auto"/>
        <w:rPr>
          <w:rFonts w:ascii="黑体" w:hAnsi="黑体" w:eastAsia="黑体" w:cs="宋体"/>
          <w:bCs w:val="0"/>
          <w:sz w:val="24"/>
          <w:szCs w:val="24"/>
        </w:rPr>
      </w:pPr>
      <w:bookmarkStart w:id="307" w:name="_Toc469900330"/>
      <w:bookmarkStart w:id="308" w:name="_Toc465671333"/>
      <w:bookmarkStart w:id="309" w:name="_Toc22913"/>
      <w:bookmarkStart w:id="310" w:name="_Toc469036858"/>
      <w:bookmarkStart w:id="311" w:name="_Toc465499608"/>
      <w:r>
        <w:rPr>
          <w:rFonts w:ascii="黑体" w:hAnsi="黑体" w:eastAsia="黑体" w:cs="宋体"/>
          <w:bCs w:val="0"/>
          <w:sz w:val="24"/>
          <w:szCs w:val="24"/>
        </w:rPr>
        <w:t>2.建立教学质量标准，确立保障目标</w:t>
      </w:r>
      <w:bookmarkEnd w:id="307"/>
      <w:bookmarkEnd w:id="308"/>
      <w:bookmarkEnd w:id="309"/>
      <w:bookmarkEnd w:id="310"/>
      <w:bookmarkEnd w:id="311"/>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建立健全专业和教学管理质量标准。完善专业质量标准，科学制订人才培养方案。考虑人才培养各方面、各环节影响育人质量的因素，建立健全专业建设、课程建设、教材建设等方面和课堂讲授、实践教学、课程设计、毕业设计（论文）、课程考核等环节及教学管理工作的质量标准。出台了本科专业评估方案、课堂教学管理规定、毕业论</w:t>
      </w:r>
      <w:r>
        <w:rPr>
          <w:rFonts w:hint="eastAsia" w:asciiTheme="minorEastAsia" w:hAnsiTheme="minorEastAsia" w:cstheme="minorEastAsia"/>
          <w:sz w:val="24"/>
          <w:szCs w:val="24"/>
        </w:rPr>
        <w:t>设计</w:t>
      </w:r>
      <w:r>
        <w:rPr>
          <w:rFonts w:asciiTheme="minorEastAsia" w:hAnsiTheme="minorEastAsia" w:cstheme="minorEastAsia"/>
          <w:sz w:val="24"/>
          <w:szCs w:val="24"/>
        </w:rPr>
        <w:t>（</w:t>
      </w:r>
      <w:r>
        <w:rPr>
          <w:rFonts w:hint="eastAsia" w:asciiTheme="minorEastAsia" w:hAnsiTheme="minorEastAsia" w:cstheme="minorEastAsia"/>
          <w:sz w:val="24"/>
          <w:szCs w:val="24"/>
        </w:rPr>
        <w:t>论文</w:t>
      </w:r>
      <w:r>
        <w:rPr>
          <w:rFonts w:asciiTheme="minorEastAsia" w:hAnsiTheme="minorEastAsia" w:cstheme="minorEastAsia"/>
          <w:sz w:val="24"/>
          <w:szCs w:val="24"/>
        </w:rPr>
        <w:t>）管理规定等。</w:t>
      </w:r>
    </w:p>
    <w:p>
      <w:pPr>
        <w:pStyle w:val="5"/>
        <w:spacing w:before="0" w:after="0" w:line="240" w:lineRule="auto"/>
        <w:rPr>
          <w:rFonts w:ascii="黑体" w:hAnsi="黑体" w:eastAsia="黑体" w:cs="宋体"/>
          <w:bCs w:val="0"/>
          <w:sz w:val="24"/>
          <w:szCs w:val="24"/>
        </w:rPr>
      </w:pPr>
      <w:bookmarkStart w:id="312" w:name="_Toc469036859"/>
      <w:bookmarkStart w:id="313" w:name="_Toc465499609"/>
      <w:bookmarkStart w:id="314" w:name="_Toc465671334"/>
      <w:bookmarkStart w:id="315" w:name="_Toc469900331"/>
      <w:bookmarkStart w:id="316" w:name="_Toc14923"/>
      <w:r>
        <w:rPr>
          <w:rFonts w:ascii="黑体" w:hAnsi="黑体" w:eastAsia="黑体" w:cs="宋体"/>
          <w:bCs w:val="0"/>
          <w:sz w:val="24"/>
          <w:szCs w:val="24"/>
        </w:rPr>
        <w:t>3.建设质量保障组织，优化教学管理</w:t>
      </w:r>
      <w:bookmarkEnd w:id="312"/>
      <w:bookmarkEnd w:id="313"/>
      <w:bookmarkEnd w:id="314"/>
      <w:bookmarkEnd w:id="315"/>
      <w:bookmarkEnd w:id="316"/>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教学决策组织。学校学术委员会与</w:t>
      </w:r>
      <w:r>
        <w:rPr>
          <w:rFonts w:hint="eastAsia" w:asciiTheme="minorEastAsia" w:hAnsiTheme="minorEastAsia" w:cstheme="minorEastAsia"/>
          <w:sz w:val="24"/>
          <w:szCs w:val="24"/>
        </w:rPr>
        <w:t>专业建设指导</w:t>
      </w:r>
      <w:r>
        <w:rPr>
          <w:rFonts w:asciiTheme="minorEastAsia" w:hAnsiTheme="minorEastAsia" w:cstheme="minorEastAsia"/>
          <w:sz w:val="24"/>
          <w:szCs w:val="24"/>
        </w:rPr>
        <w:t>委员会自成立以来，根据其工作章程，审议了深化本科人才培养改革实施方案、转专业实施办法（2015 年修订）、教学成果奖评选工作方案、本科新专业申报评定、关于</w:t>
      </w:r>
      <w:r>
        <w:rPr>
          <w:rFonts w:hint="eastAsia" w:asciiTheme="minorEastAsia" w:hAnsiTheme="minorEastAsia" w:cstheme="minorEastAsia"/>
          <w:sz w:val="24"/>
          <w:szCs w:val="24"/>
        </w:rPr>
        <w:t>双师型教师</w:t>
      </w:r>
      <w:r>
        <w:rPr>
          <w:rFonts w:asciiTheme="minorEastAsia" w:hAnsiTheme="minorEastAsia" w:cstheme="minorEastAsia"/>
          <w:sz w:val="24"/>
          <w:szCs w:val="24"/>
        </w:rPr>
        <w:t>培养的意见等议题。教学执行组织。教学执行机构由教务处</w:t>
      </w:r>
      <w:r>
        <w:rPr>
          <w:rFonts w:hint="eastAsia" w:asciiTheme="minorEastAsia" w:hAnsiTheme="minorEastAsia" w:cstheme="minorEastAsia"/>
          <w:sz w:val="24"/>
          <w:szCs w:val="24"/>
        </w:rPr>
        <w:t>及分院部</w:t>
      </w:r>
      <w:r>
        <w:rPr>
          <w:rFonts w:asciiTheme="minorEastAsia" w:hAnsiTheme="minorEastAsia" w:cstheme="minorEastAsia"/>
          <w:sz w:val="24"/>
          <w:szCs w:val="24"/>
        </w:rPr>
        <w:t>教学办两级组织组成，学校进行宏观管理，</w:t>
      </w:r>
      <w:r>
        <w:rPr>
          <w:rFonts w:hint="eastAsia" w:asciiTheme="minorEastAsia" w:hAnsiTheme="minorEastAsia" w:cstheme="minorEastAsia"/>
          <w:sz w:val="24"/>
          <w:szCs w:val="24"/>
        </w:rPr>
        <w:t>分</w:t>
      </w:r>
      <w:r>
        <w:rPr>
          <w:rFonts w:asciiTheme="minorEastAsia" w:hAnsiTheme="minorEastAsia" w:cstheme="minorEastAsia"/>
          <w:sz w:val="24"/>
          <w:szCs w:val="24"/>
        </w:rPr>
        <w:t>院进行微观管理。学校</w:t>
      </w:r>
      <w:r>
        <w:rPr>
          <w:rFonts w:hint="eastAsia" w:asciiTheme="minorEastAsia" w:hAnsiTheme="minorEastAsia" w:cstheme="minorEastAsia"/>
          <w:sz w:val="24"/>
          <w:szCs w:val="24"/>
        </w:rPr>
        <w:t>层面</w:t>
      </w:r>
      <w:r>
        <w:rPr>
          <w:rFonts w:asciiTheme="minorEastAsia" w:hAnsiTheme="minorEastAsia" w:cstheme="minorEastAsia"/>
          <w:sz w:val="24"/>
          <w:szCs w:val="24"/>
        </w:rPr>
        <w:t>不断加强</w:t>
      </w:r>
      <w:r>
        <w:rPr>
          <w:rFonts w:hint="eastAsia" w:asciiTheme="minorEastAsia" w:hAnsiTheme="minorEastAsia" w:cstheme="minorEastAsia"/>
          <w:sz w:val="24"/>
          <w:szCs w:val="24"/>
        </w:rPr>
        <w:t>对</w:t>
      </w:r>
      <w:r>
        <w:rPr>
          <w:rFonts w:asciiTheme="minorEastAsia" w:hAnsiTheme="minorEastAsia" w:cstheme="minorEastAsia"/>
          <w:sz w:val="24"/>
          <w:szCs w:val="24"/>
        </w:rPr>
        <w:t>主管教学副院长、教学秘书、等质量保障队伍建设，通过培训、例会等提高其管理与服务水平。教学监督组织。</w:t>
      </w:r>
      <w:r>
        <w:rPr>
          <w:rFonts w:hint="eastAsia" w:asciiTheme="minorEastAsia" w:hAnsiTheme="minorEastAsia" w:cstheme="minorEastAsia"/>
          <w:sz w:val="24"/>
          <w:szCs w:val="24"/>
        </w:rPr>
        <w:t>一方面</w:t>
      </w:r>
      <w:r>
        <w:rPr>
          <w:rFonts w:asciiTheme="minorEastAsia" w:hAnsiTheme="minorEastAsia" w:cstheme="minorEastAsia"/>
          <w:sz w:val="24"/>
          <w:szCs w:val="24"/>
        </w:rPr>
        <w:t>学校</w:t>
      </w:r>
      <w:r>
        <w:rPr>
          <w:rFonts w:hint="eastAsia" w:asciiTheme="minorEastAsia" w:hAnsiTheme="minorEastAsia" w:cstheme="minorEastAsia"/>
          <w:sz w:val="24"/>
          <w:szCs w:val="24"/>
        </w:rPr>
        <w:t>利用</w:t>
      </w:r>
      <w:r>
        <w:rPr>
          <w:rFonts w:asciiTheme="minorEastAsia" w:hAnsiTheme="minorEastAsia" w:cstheme="minorEastAsia"/>
          <w:sz w:val="24"/>
          <w:szCs w:val="24"/>
        </w:rPr>
        <w:t>教职工代表大会听取教育教学改革以及其他重大改革和重大问题解决方案的报告，提出意见和建议，以提案和意见处理形式进行监督；</w:t>
      </w:r>
      <w:r>
        <w:rPr>
          <w:rFonts w:hint="eastAsia" w:asciiTheme="minorEastAsia" w:hAnsiTheme="minorEastAsia" w:cstheme="minorEastAsia"/>
          <w:sz w:val="24"/>
          <w:szCs w:val="24"/>
        </w:rPr>
        <w:t>另一方面组织专门的督</w:t>
      </w:r>
      <w:r>
        <w:rPr>
          <w:rFonts w:asciiTheme="minorEastAsia" w:hAnsiTheme="minorEastAsia" w:cstheme="minorEastAsia"/>
          <w:sz w:val="24"/>
          <w:szCs w:val="24"/>
        </w:rPr>
        <w:t>学督导委员会坚持听课制度、检查制度、会议制度、汇报制度和建档</w:t>
      </w:r>
      <w:r>
        <w:rPr>
          <w:rFonts w:hint="eastAsia" w:asciiTheme="minorEastAsia" w:hAnsiTheme="minorEastAsia" w:cstheme="minorEastAsia"/>
          <w:sz w:val="24"/>
          <w:szCs w:val="24"/>
        </w:rPr>
        <w:t>等</w:t>
      </w:r>
      <w:r>
        <w:rPr>
          <w:rFonts w:asciiTheme="minorEastAsia" w:hAnsiTheme="minorEastAsia" w:cstheme="minorEastAsia"/>
          <w:sz w:val="24"/>
          <w:szCs w:val="24"/>
        </w:rPr>
        <w:t>常规工作制度，行使日常教学监督、指导、评估、反馈等职能。</w:t>
      </w:r>
    </w:p>
    <w:p>
      <w:pPr>
        <w:pStyle w:val="3"/>
        <w:spacing w:line="240" w:lineRule="auto"/>
        <w:ind w:left="0" w:firstLine="0" w:firstLineChars="0"/>
        <w:rPr>
          <w:rFonts w:ascii="黑体" w:hAnsi="黑体" w:cs="宋体"/>
          <w:b w:val="0"/>
          <w:bCs w:val="0"/>
          <w:snapToGrid/>
        </w:rPr>
      </w:pPr>
      <w:bookmarkStart w:id="317" w:name="_Toc378000177"/>
      <w:bookmarkStart w:id="318" w:name="_Toc465417289"/>
      <w:bookmarkStart w:id="319" w:name="_Toc26642"/>
      <w:bookmarkStart w:id="320" w:name="_Toc465499610"/>
      <w:bookmarkStart w:id="321" w:name="_Toc469036860"/>
      <w:bookmarkStart w:id="322" w:name="_Toc465433499"/>
      <w:bookmarkStart w:id="323" w:name="_Toc465671335"/>
      <w:bookmarkStart w:id="324" w:name="_Toc465498475"/>
      <w:bookmarkStart w:id="325" w:name="_Toc24698"/>
      <w:bookmarkStart w:id="326" w:name="_Toc469900332"/>
      <w:r>
        <w:rPr>
          <w:rFonts w:ascii="黑体" w:hAnsi="黑体" w:cs="宋体"/>
          <w:b w:val="0"/>
          <w:bCs w:val="0"/>
          <w:snapToGrid/>
        </w:rPr>
        <w:t>（</w:t>
      </w:r>
      <w:r>
        <w:rPr>
          <w:rFonts w:hint="eastAsia" w:ascii="黑体" w:hAnsi="黑体" w:cs="宋体"/>
          <w:b w:val="0"/>
          <w:bCs w:val="0"/>
          <w:snapToGrid/>
        </w:rPr>
        <w:t>四</w:t>
      </w:r>
      <w:r>
        <w:rPr>
          <w:rFonts w:ascii="黑体" w:hAnsi="黑体" w:cs="宋体"/>
          <w:b w:val="0"/>
          <w:bCs w:val="0"/>
          <w:snapToGrid/>
        </w:rPr>
        <w:t>）</w:t>
      </w:r>
      <w:bookmarkEnd w:id="317"/>
      <w:bookmarkEnd w:id="318"/>
      <w:bookmarkEnd w:id="319"/>
      <w:r>
        <w:rPr>
          <w:rFonts w:hint="eastAsia" w:ascii="黑体" w:hAnsi="黑体" w:cs="宋体"/>
          <w:b w:val="0"/>
          <w:bCs w:val="0"/>
          <w:snapToGrid/>
        </w:rPr>
        <w:t>常态</w:t>
      </w:r>
      <w:r>
        <w:rPr>
          <w:rFonts w:ascii="黑体" w:hAnsi="黑体" w:cs="宋体"/>
          <w:b w:val="0"/>
          <w:bCs w:val="0"/>
          <w:snapToGrid/>
        </w:rPr>
        <w:t>监测与专项评估</w:t>
      </w:r>
      <w:bookmarkEnd w:id="320"/>
      <w:bookmarkEnd w:id="321"/>
      <w:bookmarkEnd w:id="322"/>
      <w:bookmarkEnd w:id="323"/>
      <w:bookmarkEnd w:id="324"/>
      <w:bookmarkEnd w:id="325"/>
      <w:bookmarkEnd w:id="326"/>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学校通过教学常态监测和质量关键控制点专项评估等教学质量监控机制，夯实内部教学质量保障。</w:t>
      </w:r>
      <w:r>
        <w:rPr>
          <w:rFonts w:hint="eastAsia" w:asciiTheme="minorEastAsia" w:hAnsiTheme="minorEastAsia" w:cstheme="minorEastAsia"/>
          <w:sz w:val="24"/>
          <w:szCs w:val="24"/>
        </w:rPr>
        <w:t>学校通过多渠道，多手段和多方法建立了在企业深度参与、多方共同评价基础上的相对科学、合理、可操作性强的教学质量和评价保障体系。保证了各教学环节质量标准的有效落实。质量监测与</w:t>
      </w:r>
      <w:r>
        <w:rPr>
          <w:rFonts w:asciiTheme="minorEastAsia" w:hAnsiTheme="minorEastAsia" w:cstheme="minorEastAsia"/>
          <w:sz w:val="24"/>
          <w:szCs w:val="24"/>
        </w:rPr>
        <w:t>评估</w:t>
      </w:r>
      <w:r>
        <w:rPr>
          <w:rFonts w:hint="eastAsia" w:asciiTheme="minorEastAsia" w:hAnsiTheme="minorEastAsia" w:cstheme="minorEastAsia"/>
          <w:sz w:val="24"/>
          <w:szCs w:val="24"/>
        </w:rPr>
        <w:t>中心</w:t>
      </w:r>
      <w:r>
        <w:rPr>
          <w:rFonts w:asciiTheme="minorEastAsia" w:hAnsiTheme="minorEastAsia" w:cstheme="minorEastAsia"/>
          <w:sz w:val="24"/>
          <w:szCs w:val="24"/>
        </w:rPr>
        <w:t>根据</w:t>
      </w:r>
      <w:r>
        <w:rPr>
          <w:rFonts w:hint="eastAsia" w:asciiTheme="minorEastAsia" w:hAnsiTheme="minorEastAsia" w:cstheme="minorEastAsia"/>
          <w:sz w:val="24"/>
          <w:szCs w:val="24"/>
        </w:rPr>
        <w:t>督学督导专家们的</w:t>
      </w:r>
      <w:r>
        <w:rPr>
          <w:rFonts w:asciiTheme="minorEastAsia" w:hAnsiTheme="minorEastAsia" w:cstheme="minorEastAsia"/>
          <w:sz w:val="24"/>
          <w:szCs w:val="24"/>
        </w:rPr>
        <w:t>专业和特长进行明确分工，每位</w:t>
      </w:r>
      <w:r>
        <w:rPr>
          <w:rFonts w:hint="eastAsia" w:asciiTheme="minorEastAsia" w:hAnsiTheme="minorEastAsia" w:cstheme="minorEastAsia"/>
          <w:sz w:val="24"/>
          <w:szCs w:val="24"/>
        </w:rPr>
        <w:t>督学</w:t>
      </w:r>
      <w:r>
        <w:rPr>
          <w:rFonts w:asciiTheme="minorEastAsia" w:hAnsiTheme="minorEastAsia" w:cstheme="minorEastAsia"/>
          <w:sz w:val="24"/>
          <w:szCs w:val="24"/>
        </w:rPr>
        <w:t>重点联系二至三个分院（部），在每个分院（部）中重点联系一个教研室</w:t>
      </w:r>
      <w:r>
        <w:rPr>
          <w:rFonts w:hint="eastAsia" w:asciiTheme="minorEastAsia" w:hAnsiTheme="minorEastAsia" w:cstheme="minorEastAsia"/>
          <w:sz w:val="24"/>
          <w:szCs w:val="24"/>
        </w:rPr>
        <w:t>，</w:t>
      </w:r>
      <w:r>
        <w:rPr>
          <w:rFonts w:asciiTheme="minorEastAsia" w:hAnsiTheme="minorEastAsia" w:cstheme="minorEastAsia"/>
          <w:sz w:val="24"/>
          <w:szCs w:val="24"/>
        </w:rPr>
        <w:t>经常深入到所联系的分院（部）、教研室进行调研，主动参加分院（部）、教研室组织的重大活动，对分院（部）、教研室的工作进行现场指导，帮助基层排忧解难。</w:t>
      </w:r>
    </w:p>
    <w:p>
      <w:pPr>
        <w:pStyle w:val="5"/>
        <w:spacing w:before="0" w:after="0" w:line="240" w:lineRule="auto"/>
        <w:rPr>
          <w:rFonts w:ascii="黑体" w:hAnsi="黑体" w:eastAsia="黑体" w:cs="宋体"/>
          <w:bCs w:val="0"/>
          <w:sz w:val="24"/>
          <w:szCs w:val="24"/>
        </w:rPr>
      </w:pPr>
      <w:bookmarkStart w:id="327" w:name="_Toc469900333"/>
      <w:bookmarkStart w:id="328" w:name="_Toc465671336"/>
      <w:bookmarkStart w:id="329" w:name="_Toc469036861"/>
      <w:bookmarkStart w:id="330" w:name="_Toc27513"/>
      <w:bookmarkStart w:id="331" w:name="_Toc465499611"/>
      <w:r>
        <w:rPr>
          <w:rFonts w:ascii="黑体" w:hAnsi="黑体" w:eastAsia="黑体" w:cs="宋体"/>
          <w:bCs w:val="0"/>
          <w:sz w:val="24"/>
          <w:szCs w:val="24"/>
        </w:rPr>
        <w:t>1.进行常态监测，保障教学质量</w:t>
      </w:r>
      <w:bookmarkEnd w:id="327"/>
      <w:bookmarkEnd w:id="328"/>
      <w:bookmarkEnd w:id="329"/>
      <w:bookmarkEnd w:id="330"/>
      <w:bookmarkEnd w:id="331"/>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三段式检查。学校以学期为单位，在不同时间节点针对不同问题进行检查，全过程常态监控。学期初检查以教学秩序检查为主、学期中检查以教学计划执行、实习等教学进程跟踪和反馈为主，学期末检查以考试管理为主。学校</w:t>
      </w:r>
      <w:r>
        <w:rPr>
          <w:rFonts w:hint="eastAsia" w:asciiTheme="minorEastAsia" w:hAnsiTheme="minorEastAsia" w:cstheme="minorEastAsia"/>
          <w:sz w:val="24"/>
          <w:szCs w:val="24"/>
        </w:rPr>
        <w:t>督学</w:t>
      </w:r>
      <w:r>
        <w:rPr>
          <w:rFonts w:asciiTheme="minorEastAsia" w:hAnsiTheme="minorEastAsia" w:cstheme="minorEastAsia"/>
          <w:sz w:val="24"/>
          <w:szCs w:val="24"/>
        </w:rPr>
        <w:t>和分院（部）兼职督导员</w:t>
      </w:r>
      <w:r>
        <w:rPr>
          <w:rFonts w:hint="eastAsia" w:asciiTheme="minorEastAsia" w:hAnsiTheme="minorEastAsia" w:cstheme="minorEastAsia"/>
          <w:sz w:val="24"/>
          <w:szCs w:val="24"/>
        </w:rPr>
        <w:t>每周、</w:t>
      </w:r>
      <w:r>
        <w:rPr>
          <w:rFonts w:asciiTheme="minorEastAsia" w:hAnsiTheme="minorEastAsia" w:cstheme="minorEastAsia"/>
          <w:sz w:val="24"/>
          <w:szCs w:val="24"/>
        </w:rPr>
        <w:t>学生信息员每两周</w:t>
      </w:r>
      <w:r>
        <w:rPr>
          <w:rFonts w:hint="eastAsia" w:asciiTheme="minorEastAsia" w:hAnsiTheme="minorEastAsia" w:cstheme="minorEastAsia"/>
          <w:sz w:val="24"/>
          <w:szCs w:val="24"/>
        </w:rPr>
        <w:t>分别</w:t>
      </w:r>
      <w:r>
        <w:rPr>
          <w:rFonts w:asciiTheme="minorEastAsia" w:hAnsiTheme="minorEastAsia" w:cstheme="minorEastAsia"/>
          <w:sz w:val="24"/>
          <w:szCs w:val="24"/>
        </w:rPr>
        <w:t>向</w:t>
      </w:r>
      <w:r>
        <w:rPr>
          <w:rFonts w:hint="eastAsia" w:asciiTheme="minorEastAsia" w:hAnsiTheme="minorEastAsia" w:cstheme="minorEastAsia"/>
          <w:sz w:val="24"/>
          <w:szCs w:val="24"/>
        </w:rPr>
        <w:t>质量监测与</w:t>
      </w:r>
      <w:r>
        <w:rPr>
          <w:rFonts w:asciiTheme="minorEastAsia" w:hAnsiTheme="minorEastAsia" w:cstheme="minorEastAsia"/>
          <w:sz w:val="24"/>
          <w:szCs w:val="24"/>
        </w:rPr>
        <w:t>评估</w:t>
      </w:r>
      <w:r>
        <w:rPr>
          <w:rFonts w:hint="eastAsia" w:asciiTheme="minorEastAsia" w:hAnsiTheme="minorEastAsia" w:cstheme="minorEastAsia"/>
          <w:sz w:val="24"/>
          <w:szCs w:val="24"/>
        </w:rPr>
        <w:t>中心</w:t>
      </w:r>
      <w:r>
        <w:rPr>
          <w:rFonts w:asciiTheme="minorEastAsia" w:hAnsiTheme="minorEastAsia" w:cstheme="minorEastAsia"/>
          <w:sz w:val="24"/>
          <w:szCs w:val="24"/>
        </w:rPr>
        <w:t>上交一份督导信息反馈表（内容包括：督导信息、问题与建议），</w:t>
      </w:r>
      <w:r>
        <w:rPr>
          <w:rFonts w:hint="eastAsia" w:asciiTheme="minorEastAsia" w:hAnsiTheme="minorEastAsia" w:cstheme="minorEastAsia"/>
          <w:sz w:val="24"/>
          <w:szCs w:val="24"/>
        </w:rPr>
        <w:t>质量监测与</w:t>
      </w:r>
      <w:r>
        <w:rPr>
          <w:rFonts w:asciiTheme="minorEastAsia" w:hAnsiTheme="minorEastAsia" w:cstheme="minorEastAsia"/>
          <w:sz w:val="24"/>
          <w:szCs w:val="24"/>
        </w:rPr>
        <w:t>评估</w:t>
      </w:r>
      <w:r>
        <w:rPr>
          <w:rFonts w:hint="eastAsia" w:asciiTheme="minorEastAsia" w:hAnsiTheme="minorEastAsia" w:cstheme="minorEastAsia"/>
          <w:sz w:val="24"/>
          <w:szCs w:val="24"/>
        </w:rPr>
        <w:t>中心</w:t>
      </w:r>
      <w:r>
        <w:rPr>
          <w:rFonts w:asciiTheme="minorEastAsia" w:hAnsiTheme="minorEastAsia" w:cstheme="minorEastAsia"/>
          <w:sz w:val="24"/>
          <w:szCs w:val="24"/>
        </w:rPr>
        <w:t>对搜集到的信息进行认真筛选、核实、分析、整理，完成每周一期的《督导</w:t>
      </w:r>
      <w:r>
        <w:rPr>
          <w:rFonts w:hint="eastAsia" w:asciiTheme="minorEastAsia" w:hAnsiTheme="minorEastAsia" w:cstheme="minorEastAsia"/>
          <w:sz w:val="24"/>
          <w:szCs w:val="24"/>
        </w:rPr>
        <w:t>课程监测</w:t>
      </w:r>
      <w:r>
        <w:rPr>
          <w:rFonts w:asciiTheme="minorEastAsia" w:hAnsiTheme="minorEastAsia" w:cstheme="minorEastAsia"/>
          <w:sz w:val="24"/>
          <w:szCs w:val="24"/>
        </w:rPr>
        <w:t>简报》</w:t>
      </w:r>
      <w:r>
        <w:rPr>
          <w:rFonts w:hint="eastAsia" w:asciiTheme="minorEastAsia" w:hAnsiTheme="minorEastAsia" w:cstheme="minorEastAsia"/>
          <w:sz w:val="24"/>
          <w:szCs w:val="24"/>
        </w:rPr>
        <w:t>发布在学校办公OA平台</w:t>
      </w:r>
      <w:r>
        <w:rPr>
          <w:rFonts w:asciiTheme="minorEastAsia" w:hAnsiTheme="minorEastAsia" w:cstheme="minorEastAsia"/>
          <w:sz w:val="24"/>
          <w:szCs w:val="24"/>
        </w:rPr>
        <w:t>。</w:t>
      </w:r>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试卷专项检查。</w:t>
      </w:r>
      <w:r>
        <w:rPr>
          <w:rFonts w:hint="eastAsia" w:asciiTheme="minorEastAsia" w:hAnsiTheme="minorEastAsia" w:cstheme="minorEastAsia"/>
          <w:sz w:val="24"/>
          <w:szCs w:val="24"/>
        </w:rPr>
        <w:t>学校</w:t>
      </w:r>
      <w:r>
        <w:rPr>
          <w:rFonts w:asciiTheme="minorEastAsia" w:hAnsiTheme="minorEastAsia" w:cstheme="minorEastAsia"/>
          <w:sz w:val="24"/>
          <w:szCs w:val="24"/>
        </w:rPr>
        <w:t>教务处联合</w:t>
      </w:r>
      <w:r>
        <w:rPr>
          <w:rFonts w:hint="eastAsia" w:asciiTheme="minorEastAsia" w:hAnsiTheme="minorEastAsia" w:cstheme="minorEastAsia"/>
          <w:sz w:val="24"/>
          <w:szCs w:val="24"/>
        </w:rPr>
        <w:t>质量监测与评估中心</w:t>
      </w:r>
      <w:r>
        <w:rPr>
          <w:rFonts w:asciiTheme="minorEastAsia" w:hAnsiTheme="minorEastAsia" w:cstheme="minorEastAsia"/>
          <w:sz w:val="24"/>
          <w:szCs w:val="24"/>
        </w:rPr>
        <w:t>针对试卷命题、批改规范、存档等问题，分批次实地对全校所有学院的试卷进行了大规模的专项检查，实现了试卷检查的学院全覆盖、课程全覆盖，把存在的问题反馈给相关学院,要求学院及时整改。</w:t>
      </w:r>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毕业</w:t>
      </w:r>
      <w:r>
        <w:rPr>
          <w:rFonts w:hint="eastAsia" w:asciiTheme="minorEastAsia" w:hAnsiTheme="minorEastAsia" w:cstheme="minorEastAsia"/>
          <w:sz w:val="24"/>
          <w:szCs w:val="24"/>
        </w:rPr>
        <w:t>设计（</w:t>
      </w:r>
      <w:r>
        <w:rPr>
          <w:rFonts w:asciiTheme="minorEastAsia" w:hAnsiTheme="minorEastAsia" w:cstheme="minorEastAsia"/>
          <w:sz w:val="24"/>
          <w:szCs w:val="24"/>
        </w:rPr>
        <w:t>论文</w:t>
      </w:r>
      <w:r>
        <w:rPr>
          <w:rFonts w:hint="eastAsia" w:asciiTheme="minorEastAsia" w:hAnsiTheme="minorEastAsia" w:cstheme="minorEastAsia"/>
          <w:sz w:val="24"/>
          <w:szCs w:val="24"/>
        </w:rPr>
        <w:t>）</w:t>
      </w:r>
      <w:r>
        <w:rPr>
          <w:rFonts w:asciiTheme="minorEastAsia" w:hAnsiTheme="minorEastAsia" w:cstheme="minorEastAsia"/>
          <w:sz w:val="24"/>
          <w:szCs w:val="24"/>
        </w:rPr>
        <w:t>专项检查。学校教务处联合</w:t>
      </w:r>
      <w:r>
        <w:rPr>
          <w:rFonts w:hint="eastAsia" w:asciiTheme="minorEastAsia" w:hAnsiTheme="minorEastAsia" w:cstheme="minorEastAsia"/>
          <w:sz w:val="24"/>
          <w:szCs w:val="24"/>
        </w:rPr>
        <w:t>质量监测与评估中心</w:t>
      </w:r>
      <w:r>
        <w:rPr>
          <w:rFonts w:asciiTheme="minorEastAsia" w:hAnsiTheme="minorEastAsia" w:cstheme="minorEastAsia"/>
          <w:sz w:val="24"/>
          <w:szCs w:val="24"/>
        </w:rPr>
        <w:t>坚持对毕业</w:t>
      </w:r>
      <w:r>
        <w:rPr>
          <w:rFonts w:hint="eastAsia" w:asciiTheme="minorEastAsia" w:hAnsiTheme="minorEastAsia" w:cstheme="minorEastAsia"/>
          <w:sz w:val="24"/>
          <w:szCs w:val="24"/>
        </w:rPr>
        <w:t>设计（</w:t>
      </w:r>
      <w:r>
        <w:rPr>
          <w:rFonts w:asciiTheme="minorEastAsia" w:hAnsiTheme="minorEastAsia" w:cstheme="minorEastAsia"/>
          <w:sz w:val="24"/>
          <w:szCs w:val="24"/>
        </w:rPr>
        <w:t>论文</w:t>
      </w:r>
      <w:r>
        <w:rPr>
          <w:rFonts w:hint="eastAsia" w:asciiTheme="minorEastAsia" w:hAnsiTheme="minorEastAsia" w:cstheme="minorEastAsia"/>
          <w:sz w:val="24"/>
          <w:szCs w:val="24"/>
        </w:rPr>
        <w:t>）</w:t>
      </w:r>
      <w:r>
        <w:rPr>
          <w:rFonts w:asciiTheme="minorEastAsia" w:hAnsiTheme="minorEastAsia" w:cstheme="minorEastAsia"/>
          <w:sz w:val="24"/>
          <w:szCs w:val="24"/>
        </w:rPr>
        <w:t>进行选题、撰写规范、评分等专项检查。从 2011 年开始利用中国知网</w:t>
      </w:r>
      <w:r>
        <w:rPr>
          <w:rFonts w:hint="eastAsia" w:asciiTheme="minorEastAsia" w:hAnsiTheme="minorEastAsia" w:cstheme="minorEastAsia"/>
          <w:sz w:val="24"/>
          <w:szCs w:val="24"/>
        </w:rPr>
        <w:t>，</w:t>
      </w:r>
      <w:r>
        <w:rPr>
          <w:rFonts w:asciiTheme="minorEastAsia" w:hAnsiTheme="minorEastAsia" w:cstheme="minorEastAsia"/>
          <w:sz w:val="24"/>
          <w:szCs w:val="24"/>
        </w:rPr>
        <w:t>每年对应届毕业论文进行查重检测，要求毕业论文文字复制比超过 30%的学生重写毕业论文，把相关问题反馈给学院和学生，严把教学质量最后一关。针对毕业设计（论文）存在的主要问题，学校修订《</w:t>
      </w:r>
      <w:r>
        <w:rPr>
          <w:rFonts w:hint="eastAsia" w:asciiTheme="minorEastAsia" w:hAnsiTheme="minorEastAsia" w:cstheme="minorEastAsia"/>
          <w:sz w:val="24"/>
          <w:szCs w:val="24"/>
        </w:rPr>
        <w:t>江西服装学院</w:t>
      </w:r>
      <w:r>
        <w:rPr>
          <w:rFonts w:asciiTheme="minorEastAsia" w:hAnsiTheme="minorEastAsia" w:cstheme="minorEastAsia"/>
          <w:sz w:val="24"/>
          <w:szCs w:val="24"/>
        </w:rPr>
        <w:t>毕业设计（论文）管理规定》，提高毕业设计（论文）要求，规范毕业设计（论文）管理。</w:t>
      </w:r>
    </w:p>
    <w:p>
      <w:pPr>
        <w:pStyle w:val="5"/>
        <w:spacing w:before="0" w:after="0" w:line="240" w:lineRule="auto"/>
        <w:rPr>
          <w:rFonts w:ascii="黑体" w:hAnsi="黑体" w:eastAsia="黑体" w:cs="宋体"/>
          <w:bCs w:val="0"/>
          <w:sz w:val="24"/>
          <w:szCs w:val="24"/>
        </w:rPr>
      </w:pPr>
      <w:bookmarkStart w:id="332" w:name="_Toc469036862"/>
      <w:bookmarkStart w:id="333" w:name="_Toc3144"/>
      <w:bookmarkStart w:id="334" w:name="_Toc465499612"/>
      <w:bookmarkStart w:id="335" w:name="_Toc469900334"/>
      <w:bookmarkStart w:id="336" w:name="_Toc465671337"/>
      <w:r>
        <w:rPr>
          <w:rFonts w:ascii="黑体" w:hAnsi="黑体" w:eastAsia="黑体" w:cs="宋体"/>
          <w:bCs w:val="0"/>
          <w:sz w:val="24"/>
          <w:szCs w:val="24"/>
        </w:rPr>
        <w:t>2.实施专项监测，提升教学质量</w:t>
      </w:r>
      <w:bookmarkEnd w:id="332"/>
      <w:bookmarkEnd w:id="333"/>
      <w:bookmarkEnd w:id="334"/>
      <w:bookmarkEnd w:id="335"/>
      <w:bookmarkEnd w:id="336"/>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开展专业评估。为总结本科专业办学的经验和不足，学校</w:t>
      </w:r>
      <w:r>
        <w:rPr>
          <w:rFonts w:hint="eastAsia" w:asciiTheme="minorEastAsia" w:hAnsiTheme="minorEastAsia" w:cstheme="minorEastAsia"/>
          <w:sz w:val="24"/>
          <w:szCs w:val="24"/>
        </w:rPr>
        <w:t>每年对在建和新申报的</w:t>
      </w:r>
      <w:r>
        <w:rPr>
          <w:rFonts w:asciiTheme="minorEastAsia" w:hAnsiTheme="minorEastAsia" w:cstheme="minorEastAsia"/>
          <w:sz w:val="24"/>
          <w:szCs w:val="24"/>
        </w:rPr>
        <w:t>专业进行</w:t>
      </w:r>
      <w:r>
        <w:rPr>
          <w:rFonts w:hint="eastAsia" w:asciiTheme="minorEastAsia" w:hAnsiTheme="minorEastAsia" w:cstheme="minorEastAsia"/>
          <w:sz w:val="24"/>
          <w:szCs w:val="24"/>
        </w:rPr>
        <w:t>动态跟踪</w:t>
      </w:r>
      <w:r>
        <w:rPr>
          <w:rFonts w:asciiTheme="minorEastAsia" w:hAnsiTheme="minorEastAsia" w:cstheme="minorEastAsia"/>
          <w:sz w:val="24"/>
          <w:szCs w:val="24"/>
        </w:rPr>
        <w:t>，重点考察</w:t>
      </w:r>
      <w:r>
        <w:rPr>
          <w:rFonts w:hint="eastAsia" w:asciiTheme="minorEastAsia" w:hAnsiTheme="minorEastAsia" w:cstheme="minorEastAsia"/>
          <w:sz w:val="24"/>
          <w:szCs w:val="24"/>
        </w:rPr>
        <w:t>首批申报的本科</w:t>
      </w:r>
      <w:r>
        <w:rPr>
          <w:rFonts w:asciiTheme="minorEastAsia" w:hAnsiTheme="minorEastAsia" w:cstheme="minorEastAsia"/>
          <w:sz w:val="24"/>
          <w:szCs w:val="24"/>
        </w:rPr>
        <w:t>专业办学的关键环节和核心问题</w:t>
      </w:r>
      <w:r>
        <w:rPr>
          <w:rFonts w:hint="eastAsia" w:asciiTheme="minorEastAsia" w:hAnsiTheme="minorEastAsia" w:cstheme="minorEastAsia"/>
          <w:sz w:val="24"/>
          <w:szCs w:val="24"/>
        </w:rPr>
        <w:t>。</w:t>
      </w:r>
      <w:r>
        <w:rPr>
          <w:rFonts w:asciiTheme="minorEastAsia" w:hAnsiTheme="minorEastAsia" w:cstheme="minorEastAsia"/>
          <w:sz w:val="24"/>
          <w:szCs w:val="24"/>
        </w:rPr>
        <w:t>专家在专业汇报、听课看课、考察走访、文卷审阅、深度访谈、集中评议后形成意见反馈表向</w:t>
      </w:r>
      <w:r>
        <w:rPr>
          <w:rFonts w:hint="eastAsia" w:asciiTheme="minorEastAsia" w:hAnsiTheme="minorEastAsia" w:cstheme="minorEastAsia"/>
          <w:sz w:val="24"/>
          <w:szCs w:val="24"/>
        </w:rPr>
        <w:t>分院</w:t>
      </w:r>
      <w:r>
        <w:rPr>
          <w:rFonts w:asciiTheme="minorEastAsia" w:hAnsiTheme="minorEastAsia" w:cstheme="minorEastAsia"/>
          <w:sz w:val="24"/>
          <w:szCs w:val="24"/>
        </w:rPr>
        <w:t>反馈。</w:t>
      </w:r>
      <w:r>
        <w:rPr>
          <w:rFonts w:hint="eastAsia" w:asciiTheme="minorEastAsia" w:hAnsiTheme="minorEastAsia" w:cstheme="minorEastAsia"/>
          <w:sz w:val="24"/>
          <w:szCs w:val="24"/>
        </w:rPr>
        <w:t>校内</w:t>
      </w:r>
      <w:r>
        <w:rPr>
          <w:rFonts w:asciiTheme="minorEastAsia" w:hAnsiTheme="minorEastAsia" w:cstheme="minorEastAsia"/>
          <w:sz w:val="24"/>
          <w:szCs w:val="24"/>
        </w:rPr>
        <w:t>专业评</w:t>
      </w:r>
      <w:r>
        <w:rPr>
          <w:rFonts w:hint="eastAsia" w:asciiTheme="minorEastAsia" w:hAnsiTheme="minorEastAsia" w:cstheme="minorEastAsia"/>
          <w:sz w:val="24"/>
          <w:szCs w:val="24"/>
        </w:rPr>
        <w:t>价</w:t>
      </w:r>
      <w:r>
        <w:rPr>
          <w:rFonts w:asciiTheme="minorEastAsia" w:hAnsiTheme="minorEastAsia" w:cstheme="minorEastAsia"/>
          <w:sz w:val="24"/>
          <w:szCs w:val="24"/>
        </w:rPr>
        <w:t>的数据和专家组意见是学校加强</w:t>
      </w:r>
      <w:r>
        <w:rPr>
          <w:rFonts w:hint="eastAsia" w:asciiTheme="minorEastAsia" w:hAnsiTheme="minorEastAsia" w:cstheme="minorEastAsia"/>
          <w:sz w:val="24"/>
          <w:szCs w:val="24"/>
        </w:rPr>
        <w:t>在建</w:t>
      </w:r>
      <w:r>
        <w:rPr>
          <w:rFonts w:asciiTheme="minorEastAsia" w:hAnsiTheme="minorEastAsia" w:cstheme="minorEastAsia"/>
          <w:sz w:val="24"/>
          <w:szCs w:val="24"/>
        </w:rPr>
        <w:t>本科专业建设与管理的重要依据之一，有助于帮助</w:t>
      </w:r>
      <w:r>
        <w:rPr>
          <w:rFonts w:hint="eastAsia" w:asciiTheme="minorEastAsia" w:hAnsiTheme="minorEastAsia" w:cstheme="minorEastAsia"/>
          <w:sz w:val="24"/>
          <w:szCs w:val="24"/>
        </w:rPr>
        <w:t>在建</w:t>
      </w:r>
      <w:r>
        <w:rPr>
          <w:rFonts w:asciiTheme="minorEastAsia" w:hAnsiTheme="minorEastAsia" w:cstheme="minorEastAsia"/>
          <w:sz w:val="24"/>
          <w:szCs w:val="24"/>
        </w:rPr>
        <w:t>专业梳理成绩和问题，突出内涵建设，突出特色发展，提高人才培养</w:t>
      </w:r>
      <w:r>
        <w:rPr>
          <w:rFonts w:hint="eastAsia" w:asciiTheme="minorEastAsia" w:hAnsiTheme="minorEastAsia" w:cstheme="minorEastAsia"/>
          <w:sz w:val="24"/>
          <w:szCs w:val="24"/>
        </w:rPr>
        <w:t>。</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开展评学评教。</w:t>
      </w:r>
      <w:r>
        <w:rPr>
          <w:rFonts w:asciiTheme="minorEastAsia" w:hAnsiTheme="minorEastAsia" w:cstheme="minorEastAsia"/>
          <w:sz w:val="24"/>
          <w:szCs w:val="24"/>
        </w:rPr>
        <w:t>通过召开</w:t>
      </w:r>
      <w:r>
        <w:rPr>
          <w:rFonts w:hint="eastAsia" w:asciiTheme="minorEastAsia" w:hAnsiTheme="minorEastAsia" w:cstheme="minorEastAsia"/>
          <w:sz w:val="24"/>
          <w:szCs w:val="24"/>
        </w:rPr>
        <w:t>师生</w:t>
      </w:r>
      <w:r>
        <w:rPr>
          <w:rFonts w:asciiTheme="minorEastAsia" w:hAnsiTheme="minorEastAsia" w:cstheme="minorEastAsia"/>
          <w:sz w:val="24"/>
          <w:szCs w:val="24"/>
        </w:rPr>
        <w:t>座谈会、问卷调查等渠道开展评学</w:t>
      </w:r>
      <w:r>
        <w:rPr>
          <w:rFonts w:hint="eastAsia" w:asciiTheme="minorEastAsia" w:hAnsiTheme="minorEastAsia" w:cstheme="minorEastAsia"/>
          <w:sz w:val="24"/>
          <w:szCs w:val="24"/>
        </w:rPr>
        <w:t>评教等</w:t>
      </w:r>
      <w:r>
        <w:rPr>
          <w:rFonts w:asciiTheme="minorEastAsia" w:hAnsiTheme="minorEastAsia" w:cstheme="minorEastAsia"/>
          <w:sz w:val="24"/>
          <w:szCs w:val="24"/>
        </w:rPr>
        <w:t>活动，</w:t>
      </w:r>
      <w:r>
        <w:rPr>
          <w:rFonts w:hint="eastAsia" w:asciiTheme="minorEastAsia" w:hAnsiTheme="minorEastAsia" w:cstheme="minorEastAsia"/>
          <w:sz w:val="24"/>
          <w:szCs w:val="24"/>
        </w:rPr>
        <w:t>进一步</w:t>
      </w:r>
      <w:r>
        <w:rPr>
          <w:rFonts w:asciiTheme="minorEastAsia" w:hAnsiTheme="minorEastAsia" w:cstheme="minorEastAsia"/>
          <w:sz w:val="24"/>
          <w:szCs w:val="24"/>
        </w:rPr>
        <w:t>了解学生的思想</w:t>
      </w:r>
      <w:r>
        <w:rPr>
          <w:rFonts w:hint="eastAsia" w:asciiTheme="minorEastAsia" w:hAnsiTheme="minorEastAsia" w:cstheme="minorEastAsia"/>
          <w:sz w:val="24"/>
          <w:szCs w:val="24"/>
        </w:rPr>
        <w:t>、学习</w:t>
      </w:r>
      <w:r>
        <w:rPr>
          <w:rFonts w:asciiTheme="minorEastAsia" w:hAnsiTheme="minorEastAsia" w:cstheme="minorEastAsia"/>
          <w:sz w:val="24"/>
          <w:szCs w:val="24"/>
        </w:rPr>
        <w:t>状况和</w:t>
      </w:r>
      <w:r>
        <w:rPr>
          <w:rFonts w:hint="eastAsia" w:asciiTheme="minorEastAsia" w:hAnsiTheme="minorEastAsia" w:cstheme="minorEastAsia"/>
          <w:sz w:val="24"/>
          <w:szCs w:val="24"/>
        </w:rPr>
        <w:t>教学</w:t>
      </w:r>
      <w:r>
        <w:rPr>
          <w:rFonts w:asciiTheme="minorEastAsia" w:hAnsiTheme="minorEastAsia" w:cstheme="minorEastAsia"/>
          <w:sz w:val="24"/>
          <w:szCs w:val="24"/>
        </w:rPr>
        <w:t>动态，有针对性地进行思想政治工作，加强学风建设，增强学生学习的动力，不断提高学生学习的主动性、积极性和创造性，形成良好的学风。</w:t>
      </w:r>
      <w:r>
        <w:rPr>
          <w:rFonts w:hint="eastAsia" w:asciiTheme="minorEastAsia" w:hAnsiTheme="minorEastAsia" w:cstheme="minorEastAsia"/>
          <w:sz w:val="24"/>
          <w:szCs w:val="24"/>
        </w:rPr>
        <w:t>通过教师课堂教学反馈及改进制度</w:t>
      </w:r>
      <w:r>
        <w:rPr>
          <w:rFonts w:asciiTheme="minorEastAsia" w:hAnsiTheme="minorEastAsia" w:cstheme="minorEastAsia"/>
          <w:sz w:val="24"/>
          <w:szCs w:val="24"/>
        </w:rPr>
        <w:t>，促进教师课堂教学改进工作常态化、长效化，推动学校课堂教学工作上质量、上层次、上水平</w:t>
      </w:r>
      <w:r>
        <w:rPr>
          <w:rFonts w:hint="eastAsia" w:asciiTheme="minorEastAsia" w:hAnsiTheme="minorEastAsia" w:cstheme="minorEastAsia"/>
          <w:sz w:val="24"/>
          <w:szCs w:val="24"/>
        </w:rPr>
        <w:t>。</w:t>
      </w:r>
    </w:p>
    <w:p>
      <w:pPr>
        <w:pStyle w:val="5"/>
        <w:spacing w:before="0" w:after="0" w:line="240" w:lineRule="auto"/>
        <w:rPr>
          <w:rFonts w:ascii="黑体" w:hAnsi="黑体" w:eastAsia="黑体" w:cs="宋体"/>
          <w:bCs w:val="0"/>
          <w:sz w:val="24"/>
          <w:szCs w:val="24"/>
        </w:rPr>
      </w:pPr>
      <w:bookmarkStart w:id="337" w:name="_Toc469900335"/>
      <w:r>
        <w:rPr>
          <w:rFonts w:hint="eastAsia" w:ascii="黑体" w:hAnsi="黑体" w:eastAsia="黑体" w:cs="宋体"/>
          <w:bCs w:val="0"/>
          <w:sz w:val="24"/>
          <w:szCs w:val="24"/>
        </w:rPr>
        <w:t>3.实行学业预警，确保教学质量</w:t>
      </w:r>
      <w:bookmarkEnd w:id="337"/>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为进一步加强教学管理，提高对学生学业的指导性、预见性，敦促学生顺利完成学业，开展本学期学生学业预警工作出台《江西服装学院学籍学位学分管理实施细则》。对学生提出明确，一是学生在学期间已修读的必修课程和指定选修课程的不及格学分数累计达到</w:t>
      </w:r>
      <w:r>
        <w:rPr>
          <w:rFonts w:asciiTheme="minorEastAsia" w:hAnsiTheme="minorEastAsia" w:cstheme="minorEastAsia"/>
          <w:sz w:val="24"/>
          <w:szCs w:val="24"/>
        </w:rPr>
        <w:t xml:space="preserve">35 </w:t>
      </w:r>
      <w:r>
        <w:rPr>
          <w:rFonts w:hint="eastAsia" w:asciiTheme="minorEastAsia" w:hAnsiTheme="minorEastAsia" w:cstheme="minorEastAsia"/>
          <w:sz w:val="24"/>
          <w:szCs w:val="24"/>
        </w:rPr>
        <w:t>学分者，由学校给予退学处理，如学生本人提出降级申请，并书面通知学生家长；二是相应一学年取得的课程学分低于该学年总学分</w:t>
      </w:r>
      <w:r>
        <w:rPr>
          <w:rFonts w:asciiTheme="minorEastAsia" w:hAnsiTheme="minorEastAsia" w:cstheme="minorEastAsia"/>
          <w:sz w:val="24"/>
          <w:szCs w:val="24"/>
        </w:rPr>
        <w:t>50%</w:t>
      </w:r>
      <w:r>
        <w:rPr>
          <w:rFonts w:hint="eastAsia" w:asciiTheme="minorEastAsia" w:hAnsiTheme="minorEastAsia" w:cstheme="minorEastAsia"/>
          <w:sz w:val="24"/>
          <w:szCs w:val="24"/>
        </w:rPr>
        <w:t>的学生，给予退学警告。</w:t>
      </w:r>
    </w:p>
    <w:p>
      <w:pPr>
        <w:pStyle w:val="2"/>
        <w:spacing w:before="0" w:after="0" w:line="240" w:lineRule="auto"/>
        <w:rPr>
          <w:rFonts w:ascii="黑体" w:hAnsi="黑体" w:eastAsia="黑体" w:cs="宋体"/>
          <w:b w:val="0"/>
          <w:bCs w:val="0"/>
          <w:snapToGrid w:val="0"/>
          <w:sz w:val="30"/>
          <w:szCs w:val="30"/>
        </w:rPr>
      </w:pPr>
      <w:bookmarkStart w:id="338" w:name="_Toc465498476"/>
      <w:bookmarkStart w:id="339" w:name="_Toc378000180"/>
      <w:bookmarkStart w:id="340" w:name="_Toc465417298"/>
      <w:bookmarkStart w:id="341" w:name="_Toc29991"/>
      <w:bookmarkStart w:id="342" w:name="_Toc465433507"/>
      <w:bookmarkStart w:id="343" w:name="_Toc465671338"/>
      <w:bookmarkStart w:id="344" w:name="_Toc469036863"/>
      <w:bookmarkStart w:id="345" w:name="_Toc469900336"/>
      <w:bookmarkStart w:id="346" w:name="_Toc11113"/>
      <w:bookmarkStart w:id="347" w:name="_Toc465499613"/>
      <w:r>
        <w:rPr>
          <w:rFonts w:hint="eastAsia" w:ascii="黑体" w:hAnsi="黑体" w:eastAsia="黑体" w:cs="宋体"/>
          <w:b w:val="0"/>
          <w:bCs w:val="0"/>
          <w:snapToGrid w:val="0"/>
          <w:sz w:val="30"/>
          <w:szCs w:val="30"/>
        </w:rPr>
        <w:t>六</w:t>
      </w:r>
      <w:r>
        <w:rPr>
          <w:rFonts w:ascii="黑体" w:hAnsi="黑体" w:eastAsia="黑体" w:cs="宋体"/>
          <w:b w:val="0"/>
          <w:bCs w:val="0"/>
          <w:snapToGrid w:val="0"/>
          <w:sz w:val="30"/>
          <w:szCs w:val="30"/>
        </w:rPr>
        <w:t>、学生学习效果</w:t>
      </w:r>
      <w:bookmarkEnd w:id="338"/>
      <w:bookmarkEnd w:id="339"/>
      <w:bookmarkEnd w:id="340"/>
      <w:bookmarkEnd w:id="341"/>
      <w:bookmarkEnd w:id="342"/>
      <w:bookmarkEnd w:id="343"/>
      <w:bookmarkEnd w:id="344"/>
      <w:bookmarkEnd w:id="345"/>
      <w:bookmarkEnd w:id="346"/>
      <w:bookmarkEnd w:id="347"/>
    </w:p>
    <w:p>
      <w:pPr>
        <w:pStyle w:val="3"/>
        <w:spacing w:line="240" w:lineRule="auto"/>
        <w:ind w:left="0" w:firstLine="0" w:firstLineChars="0"/>
        <w:rPr>
          <w:rFonts w:ascii="黑体" w:hAnsi="黑体" w:cs="宋体"/>
          <w:b w:val="0"/>
          <w:bCs w:val="0"/>
          <w:snapToGrid/>
        </w:rPr>
      </w:pPr>
      <w:bookmarkStart w:id="348" w:name="_Toc26265"/>
      <w:bookmarkStart w:id="349" w:name="_Toc469036864"/>
      <w:bookmarkStart w:id="350" w:name="_Toc465498477"/>
      <w:bookmarkStart w:id="351" w:name="_Toc465433508"/>
      <w:bookmarkStart w:id="352" w:name="_Toc465499614"/>
      <w:bookmarkStart w:id="353" w:name="_Toc469900337"/>
      <w:bookmarkStart w:id="354" w:name="_Toc378000181"/>
      <w:bookmarkStart w:id="355" w:name="_Toc26651"/>
      <w:bookmarkStart w:id="356" w:name="_Toc465671339"/>
      <w:bookmarkStart w:id="357" w:name="_Toc465417299"/>
      <w:r>
        <w:rPr>
          <w:rFonts w:ascii="黑体" w:hAnsi="黑体" w:cs="宋体"/>
          <w:b w:val="0"/>
          <w:bCs w:val="0"/>
          <w:snapToGrid/>
        </w:rPr>
        <w:t>（一）学生</w:t>
      </w:r>
      <w:r>
        <w:rPr>
          <w:rFonts w:hint="eastAsia" w:ascii="黑体" w:hAnsi="黑体" w:cs="宋体"/>
          <w:b w:val="0"/>
          <w:bCs w:val="0"/>
          <w:snapToGrid/>
        </w:rPr>
        <w:t>学习</w:t>
      </w:r>
      <w:r>
        <w:rPr>
          <w:rFonts w:ascii="黑体" w:hAnsi="黑体" w:cs="宋体"/>
          <w:b w:val="0"/>
          <w:bCs w:val="0"/>
          <w:snapToGrid/>
        </w:rPr>
        <w:t>满意度</w:t>
      </w:r>
      <w:bookmarkEnd w:id="348"/>
      <w:bookmarkEnd w:id="349"/>
      <w:bookmarkEnd w:id="350"/>
      <w:bookmarkEnd w:id="351"/>
      <w:bookmarkEnd w:id="352"/>
      <w:bookmarkEnd w:id="353"/>
      <w:bookmarkEnd w:id="354"/>
      <w:bookmarkEnd w:id="355"/>
      <w:bookmarkEnd w:id="356"/>
      <w:bookmarkEnd w:id="357"/>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学校重视学风建设，在强化师资和完善教学、实验实训</w:t>
      </w:r>
      <w:r>
        <w:rPr>
          <w:rFonts w:hint="eastAsia" w:asciiTheme="minorEastAsia" w:hAnsiTheme="minorEastAsia" w:cstheme="minorEastAsia"/>
          <w:sz w:val="24"/>
          <w:szCs w:val="24"/>
        </w:rPr>
        <w:t>条件</w:t>
      </w:r>
      <w:r>
        <w:rPr>
          <w:rFonts w:asciiTheme="minorEastAsia" w:hAnsiTheme="minorEastAsia" w:cstheme="minorEastAsia"/>
          <w:sz w:val="24"/>
          <w:szCs w:val="24"/>
        </w:rPr>
        <w:t>的同时，注重提升学生满意度。每个学期，</w:t>
      </w:r>
      <w:r>
        <w:rPr>
          <w:rFonts w:hint="eastAsia" w:asciiTheme="minorEastAsia" w:hAnsiTheme="minorEastAsia" w:cstheme="minorEastAsia"/>
          <w:sz w:val="24"/>
          <w:szCs w:val="24"/>
        </w:rPr>
        <w:t>学校</w:t>
      </w:r>
      <w:r>
        <w:rPr>
          <w:rFonts w:asciiTheme="minorEastAsia" w:hAnsiTheme="minorEastAsia" w:cstheme="minorEastAsia"/>
          <w:sz w:val="24"/>
          <w:szCs w:val="24"/>
        </w:rPr>
        <w:t>统一组织全体学生对任课教师进行教学效果评价，了解学生对教师教学</w:t>
      </w:r>
      <w:r>
        <w:rPr>
          <w:rFonts w:hint="eastAsia" w:asciiTheme="minorEastAsia" w:hAnsiTheme="minorEastAsia" w:cstheme="minorEastAsia"/>
          <w:sz w:val="24"/>
          <w:szCs w:val="24"/>
        </w:rPr>
        <w:t>的</w:t>
      </w:r>
      <w:r>
        <w:rPr>
          <w:rFonts w:asciiTheme="minorEastAsia" w:hAnsiTheme="minorEastAsia" w:cstheme="minorEastAsia"/>
          <w:sz w:val="24"/>
          <w:szCs w:val="24"/>
        </w:rPr>
        <w:t>满意度</w:t>
      </w:r>
      <w:r>
        <w:rPr>
          <w:rFonts w:hint="eastAsia" w:asciiTheme="minorEastAsia" w:hAnsiTheme="minorEastAsia" w:cstheme="minorEastAsia"/>
          <w:sz w:val="24"/>
          <w:szCs w:val="24"/>
        </w:rPr>
        <w:t>。</w:t>
      </w:r>
      <w:r>
        <w:rPr>
          <w:rFonts w:asciiTheme="minorEastAsia" w:hAnsiTheme="minorEastAsia" w:cstheme="minorEastAsia"/>
          <w:sz w:val="24"/>
          <w:szCs w:val="24"/>
        </w:rPr>
        <w:t>不定期开展问卷调查和召开学生座谈会，了解学生对学校教学方面的意见与建议，并组织相关单位改进落实。</w:t>
      </w:r>
      <w:r>
        <w:rPr>
          <w:rFonts w:hint="eastAsia" w:asciiTheme="minorEastAsia" w:hAnsiTheme="minorEastAsia" w:cstheme="minorEastAsia"/>
          <w:sz w:val="24"/>
          <w:szCs w:val="24"/>
        </w:rPr>
        <w:t>重</w:t>
      </w:r>
      <w:r>
        <w:rPr>
          <w:rFonts w:asciiTheme="minorEastAsia" w:hAnsiTheme="minorEastAsia" w:cstheme="minorEastAsia"/>
          <w:sz w:val="24"/>
          <w:szCs w:val="24"/>
        </w:rPr>
        <w:t>视学生专业社团建设，以社团方式提升学生</w:t>
      </w:r>
      <w:r>
        <w:rPr>
          <w:rFonts w:hint="eastAsia" w:asciiTheme="minorEastAsia" w:hAnsiTheme="minorEastAsia" w:cstheme="minorEastAsia"/>
          <w:sz w:val="24"/>
          <w:szCs w:val="24"/>
        </w:rPr>
        <w:t>专业</w:t>
      </w:r>
      <w:r>
        <w:rPr>
          <w:rFonts w:asciiTheme="minorEastAsia" w:hAnsiTheme="minorEastAsia" w:cstheme="minorEastAsia"/>
          <w:sz w:val="24"/>
          <w:szCs w:val="24"/>
        </w:rPr>
        <w:t>学习</w:t>
      </w:r>
      <w:r>
        <w:rPr>
          <w:rFonts w:hint="eastAsia" w:asciiTheme="minorEastAsia" w:hAnsiTheme="minorEastAsia" w:cstheme="minorEastAsia"/>
          <w:sz w:val="24"/>
          <w:szCs w:val="24"/>
        </w:rPr>
        <w:t>的</w:t>
      </w:r>
      <w:r>
        <w:rPr>
          <w:rFonts w:asciiTheme="minorEastAsia" w:hAnsiTheme="minorEastAsia" w:cstheme="minorEastAsia"/>
          <w:sz w:val="24"/>
          <w:szCs w:val="24"/>
        </w:rPr>
        <w:t>积极性，扩展学习范围，巩固学生学习效果。</w:t>
      </w:r>
      <w:r>
        <w:rPr>
          <w:rFonts w:hint="eastAsia" w:asciiTheme="minorEastAsia" w:hAnsiTheme="minorEastAsia" w:cstheme="minorEastAsia"/>
          <w:sz w:val="24"/>
          <w:szCs w:val="24"/>
        </w:rPr>
        <w:t>2015年</w:t>
      </w:r>
      <w:r>
        <w:rPr>
          <w:rFonts w:asciiTheme="minorEastAsia" w:hAnsiTheme="minorEastAsia" w:cstheme="minorEastAsia"/>
          <w:sz w:val="24"/>
          <w:szCs w:val="24"/>
        </w:rPr>
        <w:t>学生</w:t>
      </w:r>
      <w:r>
        <w:rPr>
          <w:rFonts w:hint="eastAsia" w:asciiTheme="minorEastAsia" w:hAnsiTheme="minorEastAsia" w:cstheme="minorEastAsia"/>
          <w:sz w:val="24"/>
          <w:szCs w:val="24"/>
        </w:rPr>
        <w:t>学习</w:t>
      </w:r>
      <w:r>
        <w:rPr>
          <w:rFonts w:asciiTheme="minorEastAsia" w:hAnsiTheme="minorEastAsia" w:cstheme="minorEastAsia"/>
          <w:sz w:val="24"/>
          <w:szCs w:val="24"/>
        </w:rPr>
        <w:t>满意度达到</w:t>
      </w:r>
      <w:r>
        <w:rPr>
          <w:rFonts w:hint="eastAsia" w:asciiTheme="minorEastAsia" w:hAnsiTheme="minorEastAsia" w:cstheme="minorEastAsia"/>
          <w:sz w:val="24"/>
          <w:szCs w:val="24"/>
        </w:rPr>
        <w:t>92</w:t>
      </w:r>
      <w:r>
        <w:rPr>
          <w:rFonts w:asciiTheme="minorEastAsia" w:hAnsiTheme="minorEastAsia" w:cstheme="minorEastAsia"/>
          <w:sz w:val="24"/>
          <w:szCs w:val="24"/>
        </w:rPr>
        <w:t>%以上</w:t>
      </w:r>
      <w:r>
        <w:rPr>
          <w:rFonts w:hint="eastAsia" w:asciiTheme="minorEastAsia" w:hAnsiTheme="minorEastAsia" w:cstheme="minorEastAsia"/>
          <w:sz w:val="24"/>
          <w:szCs w:val="24"/>
        </w:rPr>
        <w:t>。</w:t>
      </w:r>
    </w:p>
    <w:p>
      <w:pPr>
        <w:pStyle w:val="3"/>
        <w:spacing w:line="240" w:lineRule="auto"/>
        <w:ind w:left="0" w:firstLine="0" w:firstLineChars="0"/>
        <w:rPr>
          <w:rFonts w:ascii="黑体" w:hAnsi="黑体" w:cs="宋体"/>
          <w:b w:val="0"/>
          <w:bCs w:val="0"/>
          <w:snapToGrid/>
        </w:rPr>
      </w:pPr>
      <w:bookmarkStart w:id="358" w:name="_Toc465671340"/>
      <w:bookmarkStart w:id="359" w:name="_Toc465498478"/>
      <w:bookmarkStart w:id="360" w:name="_Toc465433509"/>
      <w:bookmarkStart w:id="361" w:name="_Toc9284"/>
      <w:bookmarkStart w:id="362" w:name="_Toc469036865"/>
      <w:bookmarkStart w:id="363" w:name="_Toc465499615"/>
      <w:bookmarkStart w:id="364" w:name="_Toc469900338"/>
      <w:r>
        <w:rPr>
          <w:rFonts w:ascii="黑体" w:hAnsi="黑体" w:cs="宋体"/>
          <w:b w:val="0"/>
          <w:bCs w:val="0"/>
          <w:snapToGrid/>
        </w:rPr>
        <w:t>（</w:t>
      </w:r>
      <w:r>
        <w:rPr>
          <w:rFonts w:hint="eastAsia" w:ascii="黑体" w:hAnsi="黑体" w:cs="宋体"/>
          <w:b w:val="0"/>
          <w:bCs w:val="0"/>
          <w:snapToGrid/>
        </w:rPr>
        <w:t>二</w:t>
      </w:r>
      <w:r>
        <w:rPr>
          <w:rFonts w:ascii="黑体" w:hAnsi="黑体" w:cs="宋体"/>
          <w:b w:val="0"/>
          <w:bCs w:val="0"/>
          <w:snapToGrid/>
        </w:rPr>
        <w:t>）</w:t>
      </w:r>
      <w:r>
        <w:rPr>
          <w:rFonts w:hint="eastAsia" w:ascii="黑体" w:hAnsi="黑体" w:cs="宋体"/>
          <w:b w:val="0"/>
          <w:bCs w:val="0"/>
          <w:snapToGrid/>
        </w:rPr>
        <w:t>应届</w:t>
      </w:r>
      <w:r>
        <w:rPr>
          <w:rFonts w:ascii="黑体" w:hAnsi="黑体" w:cs="宋体"/>
          <w:b w:val="0"/>
          <w:bCs w:val="0"/>
          <w:snapToGrid/>
        </w:rPr>
        <w:t>本科毕业生毕业</w:t>
      </w:r>
      <w:r>
        <w:rPr>
          <w:rFonts w:hint="eastAsia" w:ascii="黑体" w:hAnsi="黑体" w:cs="宋体"/>
          <w:b w:val="0"/>
          <w:bCs w:val="0"/>
          <w:snapToGrid/>
        </w:rPr>
        <w:t>、</w:t>
      </w:r>
      <w:r>
        <w:rPr>
          <w:rFonts w:ascii="黑体" w:hAnsi="黑体" w:cs="宋体"/>
          <w:b w:val="0"/>
          <w:bCs w:val="0"/>
          <w:snapToGrid/>
        </w:rPr>
        <w:t>学位授予</w:t>
      </w:r>
      <w:r>
        <w:rPr>
          <w:rFonts w:hint="eastAsia" w:ascii="黑体" w:hAnsi="黑体" w:cs="宋体"/>
          <w:b w:val="0"/>
          <w:bCs w:val="0"/>
          <w:snapToGrid/>
        </w:rPr>
        <w:t>、</w:t>
      </w:r>
      <w:r>
        <w:rPr>
          <w:rFonts w:ascii="黑体" w:hAnsi="黑体" w:cs="宋体"/>
          <w:b w:val="0"/>
          <w:bCs w:val="0"/>
          <w:snapToGrid/>
        </w:rPr>
        <w:t>升学</w:t>
      </w:r>
      <w:r>
        <w:rPr>
          <w:rFonts w:hint="eastAsia" w:ascii="黑体" w:hAnsi="黑体" w:cs="宋体"/>
          <w:b w:val="0"/>
          <w:bCs w:val="0"/>
          <w:snapToGrid/>
        </w:rPr>
        <w:t>、</w:t>
      </w:r>
      <w:r>
        <w:rPr>
          <w:rFonts w:ascii="黑体" w:hAnsi="黑体" w:cs="宋体"/>
          <w:b w:val="0"/>
          <w:bCs w:val="0"/>
          <w:snapToGrid/>
        </w:rPr>
        <w:t>就业情况</w:t>
      </w:r>
      <w:bookmarkEnd w:id="358"/>
      <w:bookmarkEnd w:id="359"/>
      <w:bookmarkEnd w:id="360"/>
      <w:bookmarkEnd w:id="361"/>
      <w:bookmarkEnd w:id="362"/>
      <w:bookmarkEnd w:id="363"/>
      <w:bookmarkEnd w:id="364"/>
    </w:p>
    <w:p>
      <w:pPr>
        <w:spacing w:line="400" w:lineRule="exact"/>
        <w:ind w:firstLine="480" w:firstLineChars="200"/>
        <w:jc w:val="both"/>
        <w:rPr>
          <w:rFonts w:asciiTheme="minorEastAsia" w:hAnsiTheme="minorEastAsia"/>
          <w:sz w:val="24"/>
          <w:szCs w:val="24"/>
        </w:rPr>
      </w:pPr>
      <w:r>
        <w:rPr>
          <w:rFonts w:asciiTheme="minorEastAsia" w:hAnsiTheme="minorEastAsia" w:cstheme="minorEastAsia"/>
          <w:sz w:val="24"/>
          <w:szCs w:val="24"/>
        </w:rPr>
        <w:t>201</w:t>
      </w:r>
      <w:r>
        <w:rPr>
          <w:rFonts w:hint="eastAsia" w:asciiTheme="minorEastAsia" w:hAnsiTheme="minorEastAsia" w:cstheme="minorEastAsia"/>
          <w:sz w:val="24"/>
          <w:szCs w:val="24"/>
        </w:rPr>
        <w:t>6届本科毕业生</w:t>
      </w:r>
      <w:r>
        <w:rPr>
          <w:rFonts w:asciiTheme="minorEastAsia" w:hAnsiTheme="minorEastAsia" w:cstheme="minorEastAsia"/>
          <w:sz w:val="24"/>
          <w:szCs w:val="24"/>
        </w:rPr>
        <w:t>881</w:t>
      </w:r>
      <w:r>
        <w:rPr>
          <w:rFonts w:hint="eastAsia" w:asciiTheme="minorEastAsia" w:hAnsiTheme="minorEastAsia" w:cstheme="minorEastAsia"/>
          <w:sz w:val="24"/>
          <w:szCs w:val="24"/>
        </w:rPr>
        <w:t>人，毕业率</w:t>
      </w:r>
      <w:r>
        <w:rPr>
          <w:rFonts w:asciiTheme="minorEastAsia" w:hAnsiTheme="minorEastAsia" w:cstheme="minorEastAsia"/>
          <w:sz w:val="24"/>
          <w:szCs w:val="24"/>
        </w:rPr>
        <w:t xml:space="preserve">95.46% </w:t>
      </w:r>
      <w:r>
        <w:rPr>
          <w:rFonts w:hint="eastAsia" w:asciiTheme="minorEastAsia" w:hAnsiTheme="minorEastAsia" w:cstheme="minorEastAsia"/>
          <w:sz w:val="24"/>
          <w:szCs w:val="24"/>
        </w:rPr>
        <w:t xml:space="preserve">， </w:t>
      </w:r>
      <w:r>
        <w:rPr>
          <w:rFonts w:asciiTheme="minorEastAsia" w:hAnsiTheme="minorEastAsia" w:cstheme="minorEastAsia"/>
          <w:sz w:val="24"/>
          <w:szCs w:val="24"/>
        </w:rPr>
        <w:t>804</w:t>
      </w:r>
      <w:r>
        <w:rPr>
          <w:rFonts w:hint="eastAsia" w:asciiTheme="minorEastAsia" w:hAnsiTheme="minorEastAsia" w:cstheme="minorEastAsia"/>
          <w:sz w:val="24"/>
          <w:szCs w:val="24"/>
        </w:rPr>
        <w:t>人获得学位，学位授予率</w:t>
      </w:r>
      <w:r>
        <w:rPr>
          <w:rFonts w:asciiTheme="minorEastAsia" w:hAnsiTheme="minorEastAsia" w:cstheme="minorEastAsia"/>
          <w:sz w:val="24"/>
          <w:szCs w:val="24"/>
        </w:rPr>
        <w:t>95.60 %</w:t>
      </w:r>
      <w:r>
        <w:rPr>
          <w:rFonts w:hint="eastAsia" w:asciiTheme="minorEastAsia" w:hAnsiTheme="minorEastAsia" w:cstheme="minorEastAsia"/>
          <w:sz w:val="24"/>
          <w:szCs w:val="24"/>
        </w:rPr>
        <w:t>。就业人数</w:t>
      </w:r>
      <w:r>
        <w:rPr>
          <w:rFonts w:asciiTheme="minorEastAsia" w:hAnsiTheme="minorEastAsia" w:cstheme="minorEastAsia"/>
          <w:sz w:val="24"/>
          <w:szCs w:val="24"/>
        </w:rPr>
        <w:t>805</w:t>
      </w:r>
      <w:r>
        <w:rPr>
          <w:rFonts w:hint="eastAsia" w:asciiTheme="minorEastAsia" w:hAnsiTheme="minorEastAsia" w:cstheme="minorEastAsia"/>
          <w:sz w:val="24"/>
          <w:szCs w:val="24"/>
        </w:rPr>
        <w:t>人，就业率</w:t>
      </w:r>
      <w:r>
        <w:rPr>
          <w:rFonts w:asciiTheme="minorEastAsia" w:hAnsiTheme="minorEastAsia" w:cstheme="minorEastAsia"/>
          <w:sz w:val="24"/>
          <w:szCs w:val="24"/>
        </w:rPr>
        <w:t>95.72%</w:t>
      </w:r>
      <w:r>
        <w:rPr>
          <w:rFonts w:hint="eastAsia" w:asciiTheme="minorEastAsia" w:hAnsiTheme="minorEastAsia" w:cstheme="minorEastAsia"/>
          <w:sz w:val="24"/>
          <w:szCs w:val="24"/>
        </w:rPr>
        <w:t>，其中，攻读研究生（升学）</w:t>
      </w:r>
      <w:r>
        <w:rPr>
          <w:rFonts w:asciiTheme="minorEastAsia" w:hAnsiTheme="minorEastAsia" w:cstheme="minorEastAsia"/>
          <w:sz w:val="24"/>
          <w:szCs w:val="24"/>
        </w:rPr>
        <w:t>7</w:t>
      </w:r>
      <w:r>
        <w:rPr>
          <w:rFonts w:hint="eastAsia" w:asciiTheme="minorEastAsia" w:hAnsiTheme="minorEastAsia" w:cstheme="minorEastAsia"/>
          <w:sz w:val="24"/>
          <w:szCs w:val="24"/>
        </w:rPr>
        <w:t>人，升学率</w:t>
      </w:r>
      <w:r>
        <w:rPr>
          <w:rFonts w:asciiTheme="minorEastAsia" w:hAnsiTheme="minorEastAsia" w:cstheme="minorEastAsia"/>
          <w:sz w:val="24"/>
          <w:szCs w:val="24"/>
        </w:rPr>
        <w:t>0.79%</w:t>
      </w:r>
      <w:r>
        <w:rPr>
          <w:rFonts w:hint="eastAsia" w:asciiTheme="minorEastAsia" w:hAnsiTheme="minorEastAsia" w:cstheme="minorEastAsia"/>
          <w:sz w:val="24"/>
          <w:szCs w:val="24"/>
        </w:rPr>
        <w:t>，其中出国（境）留学</w:t>
      </w:r>
      <w:r>
        <w:rPr>
          <w:rFonts w:asciiTheme="minorEastAsia" w:hAnsiTheme="minorEastAsia" w:cstheme="minorEastAsia"/>
          <w:sz w:val="24"/>
          <w:szCs w:val="24"/>
        </w:rPr>
        <w:t>3</w:t>
      </w:r>
      <w:r>
        <w:rPr>
          <w:rFonts w:hint="eastAsia" w:asciiTheme="minorEastAsia" w:hAnsiTheme="minorEastAsia" w:cstheme="minorEastAsia"/>
          <w:sz w:val="24"/>
          <w:szCs w:val="24"/>
        </w:rPr>
        <w:t>人（如表6-1江西服装学院毕业生就业去向分布情况图所示）。</w:t>
      </w:r>
      <w:r>
        <w:rPr>
          <w:rFonts w:asciiTheme="minorEastAsia" w:hAnsiTheme="minorEastAsia"/>
          <w:sz w:val="24"/>
          <w:szCs w:val="24"/>
        </w:rPr>
        <w:t> </w:t>
      </w:r>
    </w:p>
    <w:p>
      <w:pPr>
        <w:jc w:val="center"/>
        <w:rPr>
          <w:rFonts w:cs="宋体" w:asciiTheme="minorEastAsia" w:hAnsiTheme="minorEastAsia"/>
          <w:szCs w:val="21"/>
        </w:rPr>
      </w:pPr>
      <w:r>
        <w:rPr>
          <w:rFonts w:hint="eastAsia" w:cs="宋体" w:asciiTheme="minorEastAsia" w:hAnsiTheme="minorEastAsia"/>
          <w:szCs w:val="21"/>
        </w:rPr>
        <w:t>表6</w:t>
      </w:r>
      <w:r>
        <w:rPr>
          <w:rFonts w:cs="宋体" w:asciiTheme="minorEastAsia" w:hAnsiTheme="minorEastAsia"/>
          <w:szCs w:val="21"/>
        </w:rPr>
        <w:t>-</w:t>
      </w:r>
      <w:r>
        <w:rPr>
          <w:rFonts w:hint="eastAsia" w:cs="宋体" w:asciiTheme="minorEastAsia" w:hAnsiTheme="minorEastAsia"/>
          <w:szCs w:val="21"/>
        </w:rPr>
        <w:t>1</w:t>
      </w:r>
      <w:r>
        <w:rPr>
          <w:rFonts w:cs="宋体" w:asciiTheme="minorEastAsia" w:hAnsiTheme="minorEastAsia"/>
          <w:szCs w:val="21"/>
        </w:rPr>
        <w:t xml:space="preserve"> 江西服装学院</w:t>
      </w:r>
      <w:r>
        <w:rPr>
          <w:rFonts w:hint="eastAsia" w:cs="宋体" w:asciiTheme="minorEastAsia" w:hAnsiTheme="minorEastAsia"/>
          <w:szCs w:val="21"/>
        </w:rPr>
        <w:t>毕业生就业去向分布情况</w:t>
      </w:r>
    </w:p>
    <w:tbl>
      <w:tblPr>
        <w:tblStyle w:val="14"/>
        <w:tblW w:w="8165" w:type="dxa"/>
        <w:jc w:val="center"/>
        <w:tblInd w:w="692" w:type="dxa"/>
        <w:tblLayout w:type="fixed"/>
        <w:tblCellMar>
          <w:top w:w="0" w:type="dxa"/>
          <w:left w:w="0" w:type="dxa"/>
          <w:bottom w:w="0" w:type="dxa"/>
          <w:right w:w="0" w:type="dxa"/>
        </w:tblCellMar>
      </w:tblPr>
      <w:tblGrid>
        <w:gridCol w:w="990"/>
        <w:gridCol w:w="709"/>
        <w:gridCol w:w="648"/>
        <w:gridCol w:w="735"/>
        <w:gridCol w:w="852"/>
        <w:gridCol w:w="687"/>
        <w:gridCol w:w="851"/>
        <w:gridCol w:w="1275"/>
        <w:gridCol w:w="709"/>
        <w:gridCol w:w="709"/>
      </w:tblGrid>
      <w:tr>
        <w:tblPrEx>
          <w:tblLayout w:type="fixed"/>
          <w:tblCellMar>
            <w:top w:w="0" w:type="dxa"/>
            <w:left w:w="0" w:type="dxa"/>
            <w:bottom w:w="0" w:type="dxa"/>
            <w:right w:w="0" w:type="dxa"/>
          </w:tblCellMar>
        </w:tblPrEx>
        <w:trPr>
          <w:trHeight w:val="510" w:hRule="atLeast"/>
          <w:jc w:val="center"/>
        </w:trPr>
        <w:tc>
          <w:tcPr>
            <w:tcW w:w="99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cs="宋体" w:asciiTheme="minorEastAsia" w:hAnsiTheme="minorEastAsia"/>
                <w:b/>
                <w:bCs/>
                <w:szCs w:val="21"/>
              </w:rPr>
              <w:t> </w:t>
            </w:r>
          </w:p>
        </w:tc>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hint="eastAsia" w:cs="宋体" w:asciiTheme="minorEastAsia" w:hAnsiTheme="minorEastAsia"/>
                <w:b/>
                <w:bCs/>
                <w:szCs w:val="21"/>
              </w:rPr>
              <w:t>政府机构</w:t>
            </w:r>
          </w:p>
        </w:tc>
        <w:tc>
          <w:tcPr>
            <w:tcW w:w="64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hint="eastAsia" w:cs="宋体" w:asciiTheme="minorEastAsia" w:hAnsiTheme="minorEastAsia"/>
                <w:b/>
                <w:bCs/>
                <w:szCs w:val="21"/>
              </w:rPr>
              <w:t>事业单位</w:t>
            </w:r>
          </w:p>
        </w:tc>
        <w:tc>
          <w:tcPr>
            <w:tcW w:w="735"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hint="eastAsia" w:cs="宋体" w:asciiTheme="minorEastAsia" w:hAnsiTheme="minorEastAsia"/>
                <w:b/>
                <w:bCs/>
                <w:szCs w:val="21"/>
              </w:rPr>
              <w:t>企业</w:t>
            </w:r>
          </w:p>
        </w:tc>
        <w:tc>
          <w:tcPr>
            <w:tcW w:w="85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hint="eastAsia" w:cs="宋体" w:asciiTheme="minorEastAsia" w:hAnsiTheme="minorEastAsia"/>
                <w:b/>
                <w:bCs/>
                <w:szCs w:val="21"/>
              </w:rPr>
              <w:t>部队</w:t>
            </w:r>
          </w:p>
        </w:tc>
        <w:tc>
          <w:tcPr>
            <w:tcW w:w="687"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hint="eastAsia" w:cs="宋体" w:asciiTheme="minorEastAsia" w:hAnsiTheme="minorEastAsia"/>
                <w:b/>
                <w:bCs/>
                <w:szCs w:val="21"/>
              </w:rPr>
              <w:t>灵活就业</w:t>
            </w:r>
          </w:p>
        </w:tc>
        <w:tc>
          <w:tcPr>
            <w:tcW w:w="851"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hint="eastAsia" w:cs="宋体" w:asciiTheme="minorEastAsia" w:hAnsiTheme="minorEastAsia"/>
                <w:b/>
                <w:bCs/>
                <w:szCs w:val="21"/>
              </w:rPr>
              <w:t>升学</w:t>
            </w:r>
          </w:p>
        </w:tc>
        <w:tc>
          <w:tcPr>
            <w:tcW w:w="1275"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hint="eastAsia" w:cs="宋体" w:asciiTheme="minorEastAsia" w:hAnsiTheme="minorEastAsia"/>
                <w:b/>
                <w:bCs/>
                <w:szCs w:val="21"/>
              </w:rPr>
              <w:t>参加国家地方项目就业</w:t>
            </w:r>
          </w:p>
        </w:tc>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hint="eastAsia" w:cs="宋体" w:asciiTheme="minorEastAsia" w:hAnsiTheme="minorEastAsia"/>
                <w:b/>
                <w:bCs/>
                <w:szCs w:val="21"/>
              </w:rPr>
              <w:t>其他</w:t>
            </w:r>
          </w:p>
        </w:tc>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hint="eastAsia" w:cs="宋体" w:asciiTheme="minorEastAsia" w:hAnsiTheme="minorEastAsia"/>
                <w:b/>
                <w:bCs/>
                <w:szCs w:val="21"/>
              </w:rPr>
              <w:t>总计</w:t>
            </w:r>
          </w:p>
        </w:tc>
      </w:tr>
      <w:tr>
        <w:tblPrEx>
          <w:tblLayout w:type="fixed"/>
          <w:tblCellMar>
            <w:top w:w="0" w:type="dxa"/>
            <w:left w:w="0" w:type="dxa"/>
            <w:bottom w:w="0" w:type="dxa"/>
            <w:right w:w="0" w:type="dxa"/>
          </w:tblCellMar>
        </w:tblPrEx>
        <w:trPr>
          <w:trHeight w:val="360" w:hRule="atLeast"/>
          <w:jc w:val="center"/>
        </w:trPr>
        <w:tc>
          <w:tcPr>
            <w:tcW w:w="99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hint="eastAsia" w:cs="宋体" w:asciiTheme="minorEastAsia" w:hAnsiTheme="minorEastAsia"/>
                <w:b/>
                <w:bCs/>
                <w:szCs w:val="21"/>
              </w:rPr>
              <w:t>数量</w:t>
            </w:r>
          </w:p>
        </w:tc>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2</w:t>
            </w:r>
          </w:p>
        </w:tc>
        <w:tc>
          <w:tcPr>
            <w:tcW w:w="64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5</w:t>
            </w:r>
          </w:p>
        </w:tc>
        <w:tc>
          <w:tcPr>
            <w:tcW w:w="735"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812</w:t>
            </w:r>
          </w:p>
        </w:tc>
        <w:tc>
          <w:tcPr>
            <w:tcW w:w="85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1</w:t>
            </w:r>
          </w:p>
        </w:tc>
        <w:tc>
          <w:tcPr>
            <w:tcW w:w="687"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0</w:t>
            </w:r>
          </w:p>
        </w:tc>
        <w:tc>
          <w:tcPr>
            <w:tcW w:w="851"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7</w:t>
            </w:r>
          </w:p>
        </w:tc>
        <w:tc>
          <w:tcPr>
            <w:tcW w:w="1275"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0</w:t>
            </w:r>
          </w:p>
        </w:tc>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0</w:t>
            </w:r>
          </w:p>
        </w:tc>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844</w:t>
            </w:r>
          </w:p>
        </w:tc>
      </w:tr>
      <w:tr>
        <w:tblPrEx>
          <w:tblLayout w:type="fixed"/>
          <w:tblCellMar>
            <w:top w:w="0" w:type="dxa"/>
            <w:left w:w="0" w:type="dxa"/>
            <w:bottom w:w="0" w:type="dxa"/>
            <w:right w:w="0" w:type="dxa"/>
          </w:tblCellMar>
        </w:tblPrEx>
        <w:trPr>
          <w:trHeight w:val="383" w:hRule="atLeast"/>
          <w:jc w:val="center"/>
        </w:trPr>
        <w:tc>
          <w:tcPr>
            <w:tcW w:w="990"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hint="eastAsia" w:cs="宋体" w:asciiTheme="minorEastAsia" w:hAnsiTheme="minorEastAsia"/>
                <w:b/>
                <w:bCs/>
                <w:szCs w:val="21"/>
              </w:rPr>
              <w:t>比例（%）</w:t>
            </w:r>
          </w:p>
        </w:tc>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 xml:space="preserve">0.23 </w:t>
            </w:r>
          </w:p>
        </w:tc>
        <w:tc>
          <w:tcPr>
            <w:tcW w:w="648"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 xml:space="preserve">0.59 </w:t>
            </w:r>
          </w:p>
        </w:tc>
        <w:tc>
          <w:tcPr>
            <w:tcW w:w="735"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 xml:space="preserve">96.21 </w:t>
            </w:r>
          </w:p>
        </w:tc>
        <w:tc>
          <w:tcPr>
            <w:tcW w:w="852"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0.12</w:t>
            </w:r>
          </w:p>
        </w:tc>
        <w:tc>
          <w:tcPr>
            <w:tcW w:w="687"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 xml:space="preserve">0.00 </w:t>
            </w:r>
          </w:p>
        </w:tc>
        <w:tc>
          <w:tcPr>
            <w:tcW w:w="851"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 xml:space="preserve">0.79 </w:t>
            </w:r>
          </w:p>
        </w:tc>
        <w:tc>
          <w:tcPr>
            <w:tcW w:w="1275"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 xml:space="preserve">0.00 </w:t>
            </w:r>
          </w:p>
        </w:tc>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 xml:space="preserve">0.00 </w:t>
            </w:r>
          </w:p>
        </w:tc>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cs="宋体" w:asciiTheme="minorEastAsia" w:hAnsiTheme="minorEastAsia"/>
                <w:bCs/>
                <w:szCs w:val="21"/>
              </w:rPr>
              <w:t>/</w:t>
            </w:r>
          </w:p>
        </w:tc>
      </w:tr>
    </w:tbl>
    <w:p>
      <w:pPr>
        <w:pStyle w:val="3"/>
        <w:spacing w:line="240" w:lineRule="auto"/>
        <w:ind w:left="0" w:firstLine="0" w:firstLineChars="0"/>
        <w:rPr>
          <w:rFonts w:ascii="黑体" w:hAnsi="黑体" w:cs="宋体"/>
          <w:b w:val="0"/>
          <w:bCs w:val="0"/>
          <w:snapToGrid/>
        </w:rPr>
      </w:pPr>
      <w:bookmarkStart w:id="365" w:name="_Toc469036866"/>
      <w:bookmarkStart w:id="366" w:name="_Toc465499616"/>
      <w:bookmarkStart w:id="367" w:name="_Toc465498479"/>
      <w:bookmarkStart w:id="368" w:name="_Toc465671341"/>
      <w:bookmarkStart w:id="369" w:name="_Toc465433510"/>
      <w:bookmarkStart w:id="370" w:name="_Toc12977"/>
      <w:bookmarkStart w:id="371" w:name="_Toc469900339"/>
      <w:r>
        <w:rPr>
          <w:rFonts w:ascii="黑体" w:hAnsi="黑体" w:cs="宋体"/>
          <w:b w:val="0"/>
          <w:bCs w:val="0"/>
          <w:snapToGrid/>
        </w:rPr>
        <w:t>（</w:t>
      </w:r>
      <w:r>
        <w:rPr>
          <w:rFonts w:hint="eastAsia" w:ascii="黑体" w:hAnsi="黑体" w:cs="宋体"/>
          <w:b w:val="0"/>
          <w:bCs w:val="0"/>
          <w:snapToGrid/>
        </w:rPr>
        <w:t>三</w:t>
      </w:r>
      <w:r>
        <w:rPr>
          <w:rFonts w:ascii="黑体" w:hAnsi="黑体" w:cs="宋体"/>
          <w:b w:val="0"/>
          <w:bCs w:val="0"/>
          <w:snapToGrid/>
        </w:rPr>
        <w:t>）</w:t>
      </w:r>
      <w:r>
        <w:rPr>
          <w:rFonts w:hint="eastAsia" w:ascii="黑体" w:hAnsi="黑体" w:cs="宋体"/>
          <w:b w:val="0"/>
          <w:bCs w:val="0"/>
          <w:snapToGrid/>
        </w:rPr>
        <w:t>社会用人单位对毕业生评价</w:t>
      </w:r>
      <w:bookmarkEnd w:id="365"/>
      <w:bookmarkEnd w:id="366"/>
      <w:bookmarkEnd w:id="367"/>
      <w:bookmarkEnd w:id="368"/>
      <w:bookmarkEnd w:id="369"/>
      <w:bookmarkEnd w:id="370"/>
      <w:bookmarkEnd w:id="371"/>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学校毕业生以“质朴、踏实、勤奋、明理”为主要特征，受到用人单位的普遍青睐。毕业生因专业基础扎实，踏实肯干，创新能力强，发展潜力大，在</w:t>
      </w:r>
      <w:r>
        <w:rPr>
          <w:rFonts w:hint="eastAsia" w:asciiTheme="minorEastAsia" w:hAnsiTheme="minorEastAsia" w:cstheme="minorEastAsia"/>
          <w:sz w:val="24"/>
          <w:szCs w:val="24"/>
        </w:rPr>
        <w:t>长三角及珠三角一带</w:t>
      </w:r>
      <w:r>
        <w:rPr>
          <w:rFonts w:asciiTheme="minorEastAsia" w:hAnsiTheme="minorEastAsia" w:cstheme="minorEastAsia"/>
          <w:sz w:val="24"/>
          <w:szCs w:val="24"/>
        </w:rPr>
        <w:t>树立了良好的口碑。吸引了大批知名企业前来招聘。连续</w:t>
      </w:r>
      <w:r>
        <w:rPr>
          <w:rFonts w:hint="eastAsia" w:asciiTheme="minorEastAsia" w:hAnsiTheme="minorEastAsia" w:cstheme="minorEastAsia"/>
          <w:sz w:val="24"/>
          <w:szCs w:val="24"/>
        </w:rPr>
        <w:t>五</w:t>
      </w:r>
      <w:r>
        <w:rPr>
          <w:rFonts w:asciiTheme="minorEastAsia" w:hAnsiTheme="minorEastAsia" w:cstheme="minorEastAsia"/>
          <w:sz w:val="24"/>
          <w:szCs w:val="24"/>
        </w:rPr>
        <w:t>年，用人单位对毕业生的满意度保持在 85%以上，尤其对毕业生在工作中表现出来的诸如工作态度、学习和创新精神、团队精神、专业知识技能、组织纪律性等优良品质非常赞赏。</w:t>
      </w:r>
    </w:p>
    <w:p>
      <w:pPr>
        <w:pStyle w:val="3"/>
        <w:spacing w:line="240" w:lineRule="auto"/>
        <w:ind w:left="0" w:firstLine="0" w:firstLineChars="0"/>
        <w:rPr>
          <w:rFonts w:ascii="黑体" w:hAnsi="黑体" w:cs="宋体"/>
          <w:b w:val="0"/>
          <w:bCs w:val="0"/>
          <w:snapToGrid/>
        </w:rPr>
      </w:pPr>
      <w:bookmarkStart w:id="372" w:name="_Toc30926"/>
      <w:bookmarkStart w:id="373" w:name="_Toc469900340"/>
      <w:bookmarkStart w:id="374" w:name="_Toc465499617"/>
      <w:bookmarkStart w:id="375" w:name="_Toc465433511"/>
      <w:bookmarkStart w:id="376" w:name="_Toc465498480"/>
      <w:bookmarkStart w:id="377" w:name="_Toc465671342"/>
      <w:bookmarkStart w:id="378" w:name="_Toc469036867"/>
      <w:r>
        <w:rPr>
          <w:rFonts w:ascii="黑体" w:hAnsi="黑体" w:cs="宋体"/>
          <w:b w:val="0"/>
          <w:bCs w:val="0"/>
          <w:snapToGrid/>
        </w:rPr>
        <w:t>（</w:t>
      </w:r>
      <w:r>
        <w:rPr>
          <w:rFonts w:hint="eastAsia" w:ascii="黑体" w:hAnsi="黑体" w:cs="宋体"/>
          <w:b w:val="0"/>
          <w:bCs w:val="0"/>
          <w:snapToGrid/>
        </w:rPr>
        <w:t>四</w:t>
      </w:r>
      <w:r>
        <w:rPr>
          <w:rFonts w:ascii="黑体" w:hAnsi="黑体" w:cs="宋体"/>
          <w:b w:val="0"/>
          <w:bCs w:val="0"/>
          <w:snapToGrid/>
        </w:rPr>
        <w:t>）</w:t>
      </w:r>
      <w:r>
        <w:rPr>
          <w:rFonts w:hint="eastAsia" w:ascii="黑体" w:hAnsi="黑体" w:cs="宋体"/>
          <w:b w:val="0"/>
          <w:bCs w:val="0"/>
          <w:snapToGrid/>
        </w:rPr>
        <w:t>奖助学金情况</w:t>
      </w:r>
      <w:bookmarkEnd w:id="372"/>
      <w:bookmarkEnd w:id="373"/>
      <w:bookmarkEnd w:id="374"/>
      <w:bookmarkEnd w:id="375"/>
      <w:bookmarkEnd w:id="376"/>
      <w:bookmarkEnd w:id="377"/>
      <w:bookmarkEnd w:id="378"/>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2015-2016</w:t>
      </w:r>
      <w:r>
        <w:rPr>
          <w:rFonts w:asciiTheme="minorEastAsia" w:hAnsiTheme="minorEastAsia" w:cstheme="minorEastAsia"/>
          <w:sz w:val="24"/>
          <w:szCs w:val="24"/>
        </w:rPr>
        <w:t xml:space="preserve"> 学年，学校通过各种资助措施为学生发放资金</w:t>
      </w:r>
      <w:r>
        <w:rPr>
          <w:rFonts w:hint="eastAsia" w:asciiTheme="minorEastAsia" w:hAnsiTheme="minorEastAsia" w:cstheme="minorEastAsia"/>
          <w:sz w:val="24"/>
          <w:szCs w:val="24"/>
        </w:rPr>
        <w:t>403.715</w:t>
      </w:r>
      <w:r>
        <w:rPr>
          <w:rFonts w:asciiTheme="minorEastAsia" w:hAnsiTheme="minorEastAsia" w:cstheme="minorEastAsia"/>
          <w:sz w:val="24"/>
          <w:szCs w:val="24"/>
        </w:rPr>
        <w:t>万元，资助学生共</w:t>
      </w:r>
      <w:r>
        <w:rPr>
          <w:rFonts w:hint="eastAsia" w:asciiTheme="minorEastAsia" w:hAnsiTheme="minorEastAsia" w:cstheme="minorEastAsia"/>
          <w:sz w:val="24"/>
          <w:szCs w:val="24"/>
        </w:rPr>
        <w:t>1727</w:t>
      </w:r>
      <w:r>
        <w:rPr>
          <w:rFonts w:asciiTheme="minorEastAsia" w:hAnsiTheme="minorEastAsia" w:cstheme="minorEastAsia"/>
          <w:sz w:val="24"/>
          <w:szCs w:val="24"/>
        </w:rPr>
        <w:t>人次，表彰优秀学生追求卓越发展，鼓励和保障家庭经济困难学生成长成才。</w:t>
      </w:r>
    </w:p>
    <w:p>
      <w:pPr>
        <w:pStyle w:val="3"/>
        <w:spacing w:line="240" w:lineRule="auto"/>
        <w:ind w:left="0" w:firstLine="0" w:firstLineChars="0"/>
        <w:rPr>
          <w:rFonts w:ascii="黑体" w:hAnsi="黑体" w:cs="宋体"/>
          <w:b w:val="0"/>
          <w:bCs w:val="0"/>
          <w:snapToGrid/>
        </w:rPr>
      </w:pPr>
      <w:bookmarkStart w:id="379" w:name="_Toc465417300"/>
      <w:bookmarkStart w:id="380" w:name="_Toc469900341"/>
      <w:bookmarkStart w:id="381" w:name="_Toc465499618"/>
      <w:bookmarkStart w:id="382" w:name="_Toc465671343"/>
      <w:bookmarkStart w:id="383" w:name="_Toc465498481"/>
      <w:bookmarkStart w:id="384" w:name="_Toc469036868"/>
      <w:bookmarkStart w:id="385" w:name="_Toc15161"/>
      <w:bookmarkStart w:id="386" w:name="_Toc465433512"/>
      <w:r>
        <w:rPr>
          <w:rFonts w:hint="eastAsia" w:ascii="黑体" w:hAnsi="黑体" w:cs="宋体"/>
          <w:b w:val="0"/>
          <w:bCs w:val="0"/>
          <w:snapToGrid/>
        </w:rPr>
        <w:t>（五）</w:t>
      </w:r>
      <w:bookmarkEnd w:id="379"/>
      <w:r>
        <w:rPr>
          <w:rFonts w:hint="eastAsia" w:ascii="黑体" w:hAnsi="黑体" w:cs="宋体"/>
          <w:b w:val="0"/>
          <w:bCs w:val="0"/>
          <w:snapToGrid/>
        </w:rPr>
        <w:t>本科学习成果</w:t>
      </w:r>
      <w:bookmarkEnd w:id="380"/>
      <w:bookmarkEnd w:id="381"/>
      <w:bookmarkEnd w:id="382"/>
      <w:bookmarkEnd w:id="383"/>
      <w:bookmarkEnd w:id="384"/>
      <w:bookmarkEnd w:id="385"/>
      <w:bookmarkEnd w:id="386"/>
    </w:p>
    <w:p>
      <w:pPr>
        <w:spacing w:line="400" w:lineRule="exact"/>
        <w:ind w:firstLine="480" w:firstLineChars="200"/>
        <w:jc w:val="both"/>
        <w:rPr>
          <w:rFonts w:asciiTheme="minorEastAsia" w:hAnsiTheme="minorEastAsia" w:cstheme="minorEastAsia"/>
          <w:sz w:val="24"/>
          <w:szCs w:val="24"/>
        </w:rPr>
      </w:pPr>
      <w:r>
        <w:rPr>
          <w:rFonts w:asciiTheme="minorEastAsia" w:hAnsiTheme="minorEastAsia" w:cstheme="minorEastAsia"/>
          <w:sz w:val="24"/>
          <w:szCs w:val="24"/>
        </w:rPr>
        <w:t>人才培养质量逐步提高。</w:t>
      </w:r>
      <w:r>
        <w:rPr>
          <w:rFonts w:hint="eastAsia" w:asciiTheme="minorEastAsia" w:hAnsiTheme="minorEastAsia" w:cstheme="minorEastAsia"/>
          <w:sz w:val="24"/>
          <w:szCs w:val="24"/>
        </w:rPr>
        <w:t>学校“以赛促教，以赛带练”积极组织学生参加国内外各种大赛活动是学校突出应用技术型人才培养的又一办学特色。连续两年摘得新人奖“王中王”桂冠，</w:t>
      </w:r>
      <w:r>
        <w:rPr>
          <w:rFonts w:asciiTheme="minorEastAsia" w:hAnsiTheme="minorEastAsia" w:cstheme="minorEastAsia"/>
          <w:sz w:val="24"/>
          <w:szCs w:val="24"/>
        </w:rPr>
        <w:t>2012</w:t>
      </w:r>
      <w:r>
        <w:rPr>
          <w:rFonts w:hint="eastAsia" w:asciiTheme="minorEastAsia" w:hAnsiTheme="minorEastAsia" w:cstheme="minorEastAsia"/>
          <w:sz w:val="24"/>
          <w:szCs w:val="24"/>
        </w:rPr>
        <w:t>级服装艺术设计专业</w:t>
      </w:r>
      <w:r>
        <w:rPr>
          <w:rFonts w:asciiTheme="minorEastAsia" w:hAnsiTheme="minorEastAsia" w:cstheme="minorEastAsia"/>
          <w:sz w:val="24"/>
          <w:szCs w:val="24"/>
        </w:rPr>
        <w:t>的</w:t>
      </w:r>
      <w:r>
        <w:rPr>
          <w:rFonts w:hint="eastAsia" w:asciiTheme="minorEastAsia" w:hAnsiTheme="minorEastAsia" w:cstheme="minorEastAsia"/>
          <w:sz w:val="24"/>
          <w:szCs w:val="24"/>
        </w:rPr>
        <w:t>韦艳梅同学荣获</w:t>
      </w:r>
      <w:r>
        <w:rPr>
          <w:rFonts w:asciiTheme="minorEastAsia" w:hAnsiTheme="minorEastAsia" w:cstheme="minorEastAsia"/>
          <w:sz w:val="24"/>
          <w:szCs w:val="24"/>
        </w:rPr>
        <w:t>第</w:t>
      </w:r>
      <w:r>
        <w:rPr>
          <w:rFonts w:hint="eastAsia" w:asciiTheme="minorEastAsia" w:hAnsiTheme="minorEastAsia" w:cstheme="minorEastAsia"/>
          <w:sz w:val="24"/>
          <w:szCs w:val="24"/>
        </w:rPr>
        <w:t>21</w:t>
      </w:r>
      <w:r>
        <w:rPr>
          <w:rFonts w:asciiTheme="minorEastAsia" w:hAnsiTheme="minorEastAsia" w:cstheme="minorEastAsia"/>
          <w:sz w:val="24"/>
          <w:szCs w:val="24"/>
        </w:rPr>
        <w:t>届中国时装设计新人奖</w:t>
      </w:r>
      <w:r>
        <w:rPr>
          <w:rFonts w:hint="eastAsia" w:asciiTheme="minorEastAsia" w:hAnsiTheme="minorEastAsia" w:cstheme="minorEastAsia"/>
          <w:sz w:val="24"/>
          <w:szCs w:val="24"/>
        </w:rPr>
        <w:t>第一名并获艺尚中国时装设计希望之星，国际羊毛局美丽诺羊毛学员奖</w:t>
      </w:r>
      <w:r>
        <w:rPr>
          <w:rFonts w:asciiTheme="minorEastAsia" w:hAnsiTheme="minorEastAsia" w:cstheme="minorEastAsia"/>
          <w:sz w:val="24"/>
          <w:szCs w:val="24"/>
        </w:rPr>
        <w:t>。</w:t>
      </w:r>
      <w:r>
        <w:rPr>
          <w:rFonts w:hint="eastAsia" w:asciiTheme="minorEastAsia" w:hAnsiTheme="minorEastAsia" w:cstheme="minorEastAsia"/>
          <w:sz w:val="24"/>
          <w:szCs w:val="24"/>
        </w:rPr>
        <w:t>2012级服装设计与工程专业的赵旭同学获得2015上海国际数码印花创意服装设计大赛总决赛银奖。20</w:t>
      </w:r>
      <w:r>
        <w:rPr>
          <w:rFonts w:asciiTheme="minorEastAsia" w:hAnsiTheme="minorEastAsia" w:cstheme="minorEastAsia"/>
          <w:sz w:val="24"/>
          <w:szCs w:val="24"/>
        </w:rPr>
        <w:t>12</w:t>
      </w:r>
      <w:r>
        <w:rPr>
          <w:rFonts w:hint="eastAsia" w:asciiTheme="minorEastAsia" w:hAnsiTheme="minorEastAsia" w:cstheme="minorEastAsia"/>
          <w:sz w:val="24"/>
          <w:szCs w:val="24"/>
        </w:rPr>
        <w:t>级服装艺术设计专业的余学德同学获得江西省技能大赛服装设计（现场赛）中本科组一等奖，同时2012级服装艺术设计熊芳和服装设计与工程专业的曹哲红分别获得本科组二等奖。20</w:t>
      </w:r>
      <w:r>
        <w:rPr>
          <w:rFonts w:asciiTheme="minorEastAsia" w:hAnsiTheme="minorEastAsia" w:cstheme="minorEastAsia"/>
          <w:sz w:val="24"/>
          <w:szCs w:val="24"/>
        </w:rPr>
        <w:t>13</w:t>
      </w:r>
      <w:r>
        <w:rPr>
          <w:rFonts w:hint="eastAsia" w:asciiTheme="minorEastAsia" w:hAnsiTheme="minorEastAsia" w:cstheme="minorEastAsia"/>
          <w:sz w:val="24"/>
          <w:szCs w:val="24"/>
        </w:rPr>
        <w:t>级服装与服饰设计专业王叶同学荣获2015年江西省第六届职业院校艺术专业师生作品设计大赛三等奖。2014级电子商务专业的张伦鸿、彭浚桓、甘俊军、王剑祥、黄小英五位同学组成的“私人定制：我的形象管家”团队；杨凯伦、刘佳燕、董利、吴雪琴、黄小英等同学组成的“乐风电商”团队分别获得2015年江西省大学生科技创新与职业技能竞赛的电子商务技能(创意电子商务)本科组二等奖，电子商务技能(应用电子商务)本科组三等奖，2013级广播电视编导专业的</w:t>
      </w:r>
      <w:r>
        <w:rPr>
          <w:rFonts w:asciiTheme="minorEastAsia" w:hAnsiTheme="minorEastAsia" w:cstheme="minorEastAsia"/>
          <w:sz w:val="24"/>
          <w:szCs w:val="24"/>
        </w:rPr>
        <w:t>张智林</w:t>
      </w:r>
      <w:r>
        <w:rPr>
          <w:rFonts w:hint="eastAsia" w:asciiTheme="minorEastAsia" w:hAnsiTheme="minorEastAsia" w:cstheme="minorEastAsia"/>
          <w:sz w:val="24"/>
          <w:szCs w:val="24"/>
        </w:rPr>
        <w:t>、王鹏飞、孙晓奕同学获得动漫与艺术设计(影视短片)本科组二等奖。2013级数字媒体艺术专业的郭俊材获得全国信息技术应用水平大赛江西赛区一等奖，邓贵香和吴伟南获得三等奖。由邓颖、胡晶晶、牛露露、王润龄、杨晓琼和张明明等同学组成的校啦啦操队获得2015-2016年全国大学生啦啦操比赛（广昌站）大学生乙组集体花球自选动作第一名和大学生乙组集体花球规定动作第三名.由沈聪聪、陆筱艳和唐翎等同学组成的校女子排球队荣获江西省2015年大学生排球联赛本科组第七名（如表6-2江西服装学院本科生学习成果表和表6-3</w:t>
      </w:r>
      <w:r>
        <w:rPr>
          <w:rFonts w:asciiTheme="minorEastAsia" w:hAnsiTheme="minorEastAsia" w:cstheme="minorEastAsia"/>
          <w:sz w:val="24"/>
          <w:szCs w:val="24"/>
        </w:rPr>
        <w:t>江西服装学院</w:t>
      </w:r>
      <w:r>
        <w:rPr>
          <w:rFonts w:hint="eastAsia" w:asciiTheme="minorEastAsia" w:hAnsiTheme="minorEastAsia" w:cstheme="minorEastAsia"/>
          <w:sz w:val="24"/>
          <w:szCs w:val="24"/>
        </w:rPr>
        <w:t>本科生服装类赛事获奖汇总表所示）。</w:t>
      </w:r>
    </w:p>
    <w:p>
      <w:pPr>
        <w:jc w:val="center"/>
        <w:rPr>
          <w:rFonts w:asciiTheme="minorEastAsia" w:hAnsiTheme="minorEastAsia"/>
          <w:szCs w:val="21"/>
        </w:rPr>
      </w:pPr>
      <w:r>
        <w:rPr>
          <w:rFonts w:hint="eastAsia" w:asciiTheme="minorEastAsia" w:hAnsiTheme="minorEastAsia"/>
          <w:szCs w:val="21"/>
        </w:rPr>
        <w:t>表6</w:t>
      </w:r>
      <w:r>
        <w:rPr>
          <w:rFonts w:asciiTheme="minorEastAsia" w:hAnsiTheme="minorEastAsia"/>
          <w:szCs w:val="21"/>
        </w:rPr>
        <w:t>-</w:t>
      </w:r>
      <w:r>
        <w:rPr>
          <w:rFonts w:hint="eastAsia" w:asciiTheme="minorEastAsia" w:hAnsiTheme="minorEastAsia"/>
          <w:szCs w:val="21"/>
        </w:rPr>
        <w:t>2</w:t>
      </w:r>
      <w:r>
        <w:rPr>
          <w:rFonts w:asciiTheme="minorEastAsia" w:hAnsiTheme="minorEastAsia"/>
          <w:szCs w:val="21"/>
        </w:rPr>
        <w:t xml:space="preserve"> 江西服装学院</w:t>
      </w:r>
      <w:r>
        <w:rPr>
          <w:rFonts w:hint="eastAsia" w:asciiTheme="minorEastAsia" w:hAnsiTheme="minorEastAsia"/>
          <w:szCs w:val="21"/>
        </w:rPr>
        <w:t>本科生学习成果</w:t>
      </w:r>
    </w:p>
    <w:tbl>
      <w:tblPr>
        <w:tblStyle w:val="14"/>
        <w:tblW w:w="7547" w:type="dxa"/>
        <w:jc w:val="center"/>
        <w:tblInd w:w="0" w:type="dxa"/>
        <w:tblLayout w:type="fixed"/>
        <w:tblCellMar>
          <w:top w:w="0" w:type="dxa"/>
          <w:left w:w="0" w:type="dxa"/>
          <w:bottom w:w="0" w:type="dxa"/>
          <w:right w:w="0" w:type="dxa"/>
        </w:tblCellMar>
      </w:tblPr>
      <w:tblGrid>
        <w:gridCol w:w="4213"/>
        <w:gridCol w:w="3334"/>
      </w:tblGrid>
      <w:tr>
        <w:tblPrEx>
          <w:tblLayout w:type="fixed"/>
          <w:tblCellMar>
            <w:top w:w="0" w:type="dxa"/>
            <w:left w:w="0" w:type="dxa"/>
            <w:bottom w:w="0" w:type="dxa"/>
            <w:right w:w="0" w:type="dxa"/>
          </w:tblCellMar>
        </w:tblPrEx>
        <w:trPr>
          <w:trHeight w:val="270" w:hRule="atLeast"/>
          <w:tblHeader/>
          <w:jc w:val="center"/>
        </w:trPr>
        <w:tc>
          <w:tcPr>
            <w:tcW w:w="4213"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b/>
                <w:bCs/>
                <w:szCs w:val="21"/>
              </w:rPr>
              <w:t>项目</w:t>
            </w:r>
          </w:p>
        </w:tc>
        <w:tc>
          <w:tcPr>
            <w:tcW w:w="333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b/>
                <w:bCs/>
                <w:szCs w:val="21"/>
              </w:rPr>
              <w:t>内容</w:t>
            </w:r>
          </w:p>
        </w:tc>
      </w:tr>
      <w:tr>
        <w:tblPrEx>
          <w:tblLayout w:type="fixed"/>
          <w:tblCellMar>
            <w:top w:w="0" w:type="dxa"/>
            <w:left w:w="0" w:type="dxa"/>
            <w:bottom w:w="0" w:type="dxa"/>
            <w:right w:w="0" w:type="dxa"/>
          </w:tblCellMar>
        </w:tblPrEx>
        <w:trPr>
          <w:trHeight w:val="270" w:hRule="atLeast"/>
          <w:jc w:val="center"/>
        </w:trPr>
        <w:tc>
          <w:tcPr>
            <w:tcW w:w="4213"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学科竞赛获奖</w:t>
            </w:r>
          </w:p>
        </w:tc>
        <w:tc>
          <w:tcPr>
            <w:tcW w:w="333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33</w:t>
            </w:r>
          </w:p>
        </w:tc>
      </w:tr>
      <w:tr>
        <w:tblPrEx>
          <w:tblLayout w:type="fixed"/>
          <w:tblCellMar>
            <w:top w:w="0" w:type="dxa"/>
            <w:left w:w="0" w:type="dxa"/>
            <w:bottom w:w="0" w:type="dxa"/>
            <w:right w:w="0" w:type="dxa"/>
          </w:tblCellMar>
        </w:tblPrEx>
        <w:trPr>
          <w:trHeight w:val="270" w:hRule="atLeast"/>
          <w:jc w:val="center"/>
        </w:trPr>
        <w:tc>
          <w:tcPr>
            <w:tcW w:w="4213"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学科竞赛获奖国家级</w:t>
            </w:r>
          </w:p>
        </w:tc>
        <w:tc>
          <w:tcPr>
            <w:tcW w:w="333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0</w:t>
            </w:r>
          </w:p>
        </w:tc>
      </w:tr>
      <w:tr>
        <w:tblPrEx>
          <w:tblLayout w:type="fixed"/>
          <w:tblCellMar>
            <w:top w:w="0" w:type="dxa"/>
            <w:left w:w="0" w:type="dxa"/>
            <w:bottom w:w="0" w:type="dxa"/>
            <w:right w:w="0" w:type="dxa"/>
          </w:tblCellMar>
        </w:tblPrEx>
        <w:trPr>
          <w:trHeight w:val="270" w:hRule="atLeast"/>
          <w:jc w:val="center"/>
        </w:trPr>
        <w:tc>
          <w:tcPr>
            <w:tcW w:w="4213"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学科竞赛获奖省部级</w:t>
            </w:r>
          </w:p>
        </w:tc>
        <w:tc>
          <w:tcPr>
            <w:tcW w:w="333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33</w:t>
            </w:r>
          </w:p>
        </w:tc>
      </w:tr>
      <w:tr>
        <w:tblPrEx>
          <w:tblLayout w:type="fixed"/>
          <w:tblCellMar>
            <w:top w:w="0" w:type="dxa"/>
            <w:left w:w="0" w:type="dxa"/>
            <w:bottom w:w="0" w:type="dxa"/>
            <w:right w:w="0" w:type="dxa"/>
          </w:tblCellMar>
        </w:tblPrEx>
        <w:trPr>
          <w:trHeight w:val="270" w:hRule="atLeast"/>
          <w:jc w:val="center"/>
        </w:trPr>
        <w:tc>
          <w:tcPr>
            <w:tcW w:w="4213"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本科生创新活动、技能竞赛获奖</w:t>
            </w:r>
          </w:p>
        </w:tc>
        <w:tc>
          <w:tcPr>
            <w:tcW w:w="333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15</w:t>
            </w:r>
          </w:p>
        </w:tc>
      </w:tr>
      <w:tr>
        <w:tblPrEx>
          <w:tblLayout w:type="fixed"/>
          <w:tblCellMar>
            <w:top w:w="0" w:type="dxa"/>
            <w:left w:w="0" w:type="dxa"/>
            <w:bottom w:w="0" w:type="dxa"/>
            <w:right w:w="0" w:type="dxa"/>
          </w:tblCellMar>
        </w:tblPrEx>
        <w:trPr>
          <w:trHeight w:val="270" w:hRule="atLeast"/>
          <w:jc w:val="center"/>
        </w:trPr>
        <w:tc>
          <w:tcPr>
            <w:tcW w:w="4213"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本科生创新活动、技能竞赛获奖国家级</w:t>
            </w:r>
          </w:p>
        </w:tc>
        <w:tc>
          <w:tcPr>
            <w:tcW w:w="333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0</w:t>
            </w:r>
          </w:p>
        </w:tc>
      </w:tr>
      <w:tr>
        <w:tblPrEx>
          <w:tblLayout w:type="fixed"/>
          <w:tblCellMar>
            <w:top w:w="0" w:type="dxa"/>
            <w:left w:w="0" w:type="dxa"/>
            <w:bottom w:w="0" w:type="dxa"/>
            <w:right w:w="0" w:type="dxa"/>
          </w:tblCellMar>
        </w:tblPrEx>
        <w:trPr>
          <w:trHeight w:val="270" w:hRule="atLeast"/>
          <w:jc w:val="center"/>
        </w:trPr>
        <w:tc>
          <w:tcPr>
            <w:tcW w:w="4213"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本科生创新活动、技能竞赛获奖省部级</w:t>
            </w:r>
          </w:p>
        </w:tc>
        <w:tc>
          <w:tcPr>
            <w:tcW w:w="333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15</w:t>
            </w:r>
          </w:p>
        </w:tc>
      </w:tr>
      <w:tr>
        <w:tblPrEx>
          <w:tblLayout w:type="fixed"/>
          <w:tblCellMar>
            <w:top w:w="0" w:type="dxa"/>
            <w:left w:w="0" w:type="dxa"/>
            <w:bottom w:w="0" w:type="dxa"/>
            <w:right w:w="0" w:type="dxa"/>
          </w:tblCellMar>
        </w:tblPrEx>
        <w:trPr>
          <w:trHeight w:val="270" w:hRule="atLeast"/>
          <w:jc w:val="center"/>
        </w:trPr>
        <w:tc>
          <w:tcPr>
            <w:tcW w:w="4213"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文艺、体育竞赛获奖</w:t>
            </w:r>
          </w:p>
        </w:tc>
        <w:tc>
          <w:tcPr>
            <w:tcW w:w="333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19</w:t>
            </w:r>
          </w:p>
        </w:tc>
      </w:tr>
      <w:tr>
        <w:tblPrEx>
          <w:tblLayout w:type="fixed"/>
          <w:tblCellMar>
            <w:top w:w="0" w:type="dxa"/>
            <w:left w:w="0" w:type="dxa"/>
            <w:bottom w:w="0" w:type="dxa"/>
            <w:right w:w="0" w:type="dxa"/>
          </w:tblCellMar>
        </w:tblPrEx>
        <w:trPr>
          <w:trHeight w:val="270" w:hRule="atLeast"/>
          <w:jc w:val="center"/>
        </w:trPr>
        <w:tc>
          <w:tcPr>
            <w:tcW w:w="4213"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文艺、体育竞赛获奖国家级</w:t>
            </w:r>
          </w:p>
        </w:tc>
        <w:tc>
          <w:tcPr>
            <w:tcW w:w="333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0</w:t>
            </w:r>
          </w:p>
        </w:tc>
      </w:tr>
      <w:tr>
        <w:tblPrEx>
          <w:tblLayout w:type="fixed"/>
          <w:tblCellMar>
            <w:top w:w="0" w:type="dxa"/>
            <w:left w:w="0" w:type="dxa"/>
            <w:bottom w:w="0" w:type="dxa"/>
            <w:right w:w="0" w:type="dxa"/>
          </w:tblCellMar>
        </w:tblPrEx>
        <w:trPr>
          <w:trHeight w:val="270" w:hRule="atLeast"/>
          <w:jc w:val="center"/>
        </w:trPr>
        <w:tc>
          <w:tcPr>
            <w:tcW w:w="4213"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文艺、体育竞赛获奖省部级</w:t>
            </w:r>
          </w:p>
        </w:tc>
        <w:tc>
          <w:tcPr>
            <w:tcW w:w="3334"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19</w:t>
            </w:r>
          </w:p>
        </w:tc>
      </w:tr>
    </w:tbl>
    <w:p>
      <w:pPr>
        <w:rPr>
          <w:rFonts w:ascii="Calibri" w:hAnsi="Calibri" w:cs="宋体"/>
          <w:szCs w:val="21"/>
        </w:rPr>
      </w:pPr>
      <w:r>
        <w:rPr>
          <w:rFonts w:ascii="Calibri" w:hAnsi="Calibri" w:cs="宋体"/>
          <w:szCs w:val="21"/>
        </w:rPr>
        <w:t> </w:t>
      </w:r>
    </w:p>
    <w:p>
      <w:pPr>
        <w:jc w:val="center"/>
        <w:rPr>
          <w:rFonts w:asciiTheme="minorEastAsia" w:hAnsiTheme="minorEastAsia"/>
          <w:szCs w:val="21"/>
        </w:rPr>
      </w:pPr>
      <w:r>
        <w:rPr>
          <w:rFonts w:hint="eastAsia" w:asciiTheme="minorEastAsia" w:hAnsiTheme="minorEastAsia"/>
          <w:szCs w:val="21"/>
        </w:rPr>
        <w:t>表6</w:t>
      </w:r>
      <w:r>
        <w:rPr>
          <w:rFonts w:asciiTheme="minorEastAsia" w:hAnsiTheme="minorEastAsia"/>
          <w:szCs w:val="21"/>
        </w:rPr>
        <w:t>-</w:t>
      </w:r>
      <w:r>
        <w:rPr>
          <w:rFonts w:hint="eastAsia" w:asciiTheme="minorEastAsia" w:hAnsiTheme="minorEastAsia"/>
          <w:szCs w:val="21"/>
        </w:rPr>
        <w:t>3</w:t>
      </w:r>
      <w:r>
        <w:rPr>
          <w:rFonts w:asciiTheme="minorEastAsia" w:hAnsiTheme="minorEastAsia"/>
          <w:szCs w:val="21"/>
        </w:rPr>
        <w:t xml:space="preserve"> </w:t>
      </w:r>
      <w:r>
        <w:rPr>
          <w:rFonts w:hint="eastAsia" w:asciiTheme="minorEastAsia" w:hAnsiTheme="minorEastAsia"/>
          <w:szCs w:val="21"/>
        </w:rPr>
        <w:t>2015-2016年</w:t>
      </w:r>
      <w:r>
        <w:rPr>
          <w:rFonts w:asciiTheme="minorEastAsia" w:hAnsiTheme="minorEastAsia"/>
          <w:szCs w:val="21"/>
        </w:rPr>
        <w:t>江西服装学院</w:t>
      </w:r>
      <w:r>
        <w:rPr>
          <w:rFonts w:hint="eastAsia" w:asciiTheme="minorEastAsia" w:hAnsiTheme="minorEastAsia"/>
          <w:szCs w:val="21"/>
        </w:rPr>
        <w:t>本科生服装类赛事获奖汇总表</w:t>
      </w:r>
    </w:p>
    <w:tbl>
      <w:tblPr>
        <w:tblStyle w:val="14"/>
        <w:tblW w:w="8431" w:type="dxa"/>
        <w:jc w:val="center"/>
        <w:tblInd w:w="-159" w:type="dxa"/>
        <w:tblLayout w:type="fixed"/>
        <w:tblCellMar>
          <w:top w:w="0" w:type="dxa"/>
          <w:left w:w="0" w:type="dxa"/>
          <w:bottom w:w="0" w:type="dxa"/>
          <w:right w:w="0" w:type="dxa"/>
        </w:tblCellMar>
      </w:tblPr>
      <w:tblGrid>
        <w:gridCol w:w="709"/>
        <w:gridCol w:w="5166"/>
        <w:gridCol w:w="2556"/>
      </w:tblGrid>
      <w:tr>
        <w:tblPrEx>
          <w:tblLayout w:type="fixed"/>
          <w:tblCellMar>
            <w:top w:w="0" w:type="dxa"/>
            <w:left w:w="0" w:type="dxa"/>
            <w:bottom w:w="0" w:type="dxa"/>
            <w:right w:w="0" w:type="dxa"/>
          </w:tblCellMar>
        </w:tblPrEx>
        <w:trPr>
          <w:trHeight w:val="454" w:hRule="exact"/>
          <w:jc w:val="center"/>
        </w:trPr>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b/>
                <w:bCs/>
                <w:szCs w:val="21"/>
              </w:rPr>
              <w:t>序号</w:t>
            </w:r>
          </w:p>
        </w:tc>
        <w:tc>
          <w:tcPr>
            <w:tcW w:w="5166"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b/>
                <w:bCs/>
                <w:szCs w:val="21"/>
              </w:rPr>
              <w:t>赛事名称</w:t>
            </w:r>
          </w:p>
        </w:tc>
        <w:tc>
          <w:tcPr>
            <w:tcW w:w="2556" w:type="dxa"/>
            <w:tcBorders>
              <w:top w:val="single" w:color="000000" w:sz="6" w:space="0"/>
              <w:left w:val="single" w:color="000000" w:sz="6" w:space="0"/>
              <w:bottom w:val="single" w:color="000000" w:sz="6" w:space="0"/>
              <w:right w:val="single" w:color="000000" w:sz="6" w:space="0"/>
            </w:tcBorders>
            <w:vAlign w:val="center"/>
          </w:tcPr>
          <w:p>
            <w:pPr>
              <w:jc w:val="center"/>
              <w:rPr>
                <w:rFonts w:cs="宋体" w:asciiTheme="minorEastAsia" w:hAnsiTheme="minorEastAsia"/>
                <w:b/>
                <w:bCs/>
                <w:szCs w:val="21"/>
              </w:rPr>
            </w:pPr>
            <w:r>
              <w:rPr>
                <w:rFonts w:hint="eastAsia" w:cs="宋体" w:asciiTheme="minorEastAsia" w:hAnsiTheme="minorEastAsia"/>
                <w:b/>
                <w:bCs/>
                <w:szCs w:val="21"/>
              </w:rPr>
              <w:t>奖项</w:t>
            </w:r>
          </w:p>
        </w:tc>
      </w:tr>
      <w:tr>
        <w:tblPrEx>
          <w:tblLayout w:type="fixed"/>
          <w:tblCellMar>
            <w:top w:w="0" w:type="dxa"/>
            <w:left w:w="0" w:type="dxa"/>
            <w:bottom w:w="0" w:type="dxa"/>
            <w:right w:w="0" w:type="dxa"/>
          </w:tblCellMar>
        </w:tblPrEx>
        <w:trPr>
          <w:trHeight w:val="454" w:hRule="exact"/>
          <w:jc w:val="center"/>
        </w:trPr>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hint="eastAsia" w:cs="宋体" w:asciiTheme="minorEastAsia" w:hAnsiTheme="minorEastAsia"/>
                <w:bCs/>
                <w:szCs w:val="21"/>
              </w:rPr>
              <w:t>1</w:t>
            </w:r>
          </w:p>
        </w:tc>
        <w:tc>
          <w:tcPr>
            <w:tcW w:w="5166"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
                <w:bCs/>
                <w:szCs w:val="21"/>
              </w:rPr>
            </w:pPr>
            <w:r>
              <w:rPr>
                <w:rFonts w:hint="eastAsia" w:cs="Segoe UI" w:asciiTheme="minorEastAsia" w:hAnsiTheme="minorEastAsia"/>
                <w:color w:val="333333"/>
                <w:szCs w:val="21"/>
              </w:rPr>
              <w:t>第21届中国时装设计新人奖</w:t>
            </w:r>
          </w:p>
        </w:tc>
        <w:tc>
          <w:tcPr>
            <w:tcW w:w="2556" w:type="dxa"/>
            <w:tcBorders>
              <w:top w:val="single" w:color="000000" w:sz="6" w:space="0"/>
              <w:left w:val="single" w:color="000000" w:sz="6" w:space="0"/>
              <w:bottom w:val="single" w:color="000000" w:sz="6" w:space="0"/>
              <w:right w:val="single" w:color="000000" w:sz="6" w:space="0"/>
            </w:tcBorders>
            <w:vAlign w:val="center"/>
          </w:tcPr>
          <w:p>
            <w:pPr>
              <w:jc w:val="center"/>
              <w:rPr>
                <w:rFonts w:cs="宋体" w:asciiTheme="minorEastAsia" w:hAnsiTheme="minorEastAsia"/>
                <w:bCs/>
                <w:szCs w:val="21"/>
              </w:rPr>
            </w:pPr>
            <w:r>
              <w:rPr>
                <w:rFonts w:hint="eastAsia" w:cs="宋体" w:asciiTheme="minorEastAsia" w:hAnsiTheme="minorEastAsia"/>
                <w:bCs/>
                <w:szCs w:val="21"/>
              </w:rPr>
              <w:t>第一名</w:t>
            </w:r>
          </w:p>
        </w:tc>
      </w:tr>
      <w:tr>
        <w:tblPrEx>
          <w:tblLayout w:type="fixed"/>
          <w:tblCellMar>
            <w:top w:w="0" w:type="dxa"/>
            <w:left w:w="0" w:type="dxa"/>
            <w:bottom w:w="0" w:type="dxa"/>
            <w:right w:w="0" w:type="dxa"/>
          </w:tblCellMar>
        </w:tblPrEx>
        <w:trPr>
          <w:trHeight w:val="454" w:hRule="exact"/>
          <w:jc w:val="center"/>
        </w:trPr>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bCs/>
                <w:szCs w:val="21"/>
              </w:rPr>
            </w:pPr>
            <w:r>
              <w:rPr>
                <w:rFonts w:hint="eastAsia" w:cs="宋体" w:asciiTheme="minorEastAsia" w:hAnsiTheme="minorEastAsia"/>
                <w:bCs/>
                <w:szCs w:val="21"/>
              </w:rPr>
              <w:t>2</w:t>
            </w:r>
          </w:p>
        </w:tc>
        <w:tc>
          <w:tcPr>
            <w:tcW w:w="5166"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Segoe UI" w:asciiTheme="minorEastAsia" w:hAnsiTheme="minorEastAsia"/>
                <w:color w:val="333333"/>
                <w:szCs w:val="21"/>
              </w:rPr>
            </w:pPr>
            <w:r>
              <w:rPr>
                <w:rFonts w:hint="eastAsia" w:cs="Segoe UI" w:asciiTheme="minorEastAsia" w:hAnsiTheme="minorEastAsia"/>
                <w:color w:val="333333"/>
                <w:szCs w:val="21"/>
              </w:rPr>
              <w:t>第20届中国时装设计新人奖</w:t>
            </w:r>
          </w:p>
        </w:tc>
        <w:tc>
          <w:tcPr>
            <w:tcW w:w="2556" w:type="dxa"/>
            <w:tcBorders>
              <w:top w:val="single" w:color="000000" w:sz="6" w:space="0"/>
              <w:left w:val="single" w:color="000000" w:sz="6" w:space="0"/>
              <w:bottom w:val="single" w:color="000000" w:sz="6" w:space="0"/>
              <w:right w:val="single" w:color="000000" w:sz="6" w:space="0"/>
            </w:tcBorders>
            <w:vAlign w:val="center"/>
          </w:tcPr>
          <w:p>
            <w:pPr>
              <w:jc w:val="center"/>
              <w:rPr>
                <w:rFonts w:cs="宋体" w:asciiTheme="minorEastAsia" w:hAnsiTheme="minorEastAsia"/>
                <w:bCs/>
                <w:szCs w:val="21"/>
              </w:rPr>
            </w:pPr>
            <w:r>
              <w:rPr>
                <w:rFonts w:hint="eastAsia" w:cs="宋体" w:asciiTheme="minorEastAsia" w:hAnsiTheme="minorEastAsia"/>
                <w:bCs/>
                <w:szCs w:val="21"/>
              </w:rPr>
              <w:t>第一名</w:t>
            </w:r>
          </w:p>
        </w:tc>
      </w:tr>
      <w:tr>
        <w:tblPrEx>
          <w:tblLayout w:type="fixed"/>
          <w:tblCellMar>
            <w:top w:w="0" w:type="dxa"/>
            <w:left w:w="0" w:type="dxa"/>
            <w:bottom w:w="0" w:type="dxa"/>
            <w:right w:w="0" w:type="dxa"/>
          </w:tblCellMar>
        </w:tblPrEx>
        <w:trPr>
          <w:trHeight w:val="454" w:hRule="exact"/>
          <w:jc w:val="center"/>
        </w:trPr>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3</w:t>
            </w:r>
          </w:p>
        </w:tc>
        <w:tc>
          <w:tcPr>
            <w:tcW w:w="5166"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2016第五届“石狮杯”全国高校毕业生服装设计大赛</w:t>
            </w:r>
          </w:p>
        </w:tc>
        <w:tc>
          <w:tcPr>
            <w:tcW w:w="2556" w:type="dxa"/>
            <w:tcBorders>
              <w:top w:val="single" w:color="000000" w:sz="6" w:space="0"/>
              <w:left w:val="single" w:color="000000" w:sz="6" w:space="0"/>
              <w:bottom w:val="single" w:color="000000" w:sz="6" w:space="0"/>
              <w:right w:val="single" w:color="000000" w:sz="6" w:space="0"/>
            </w:tcBorders>
            <w:vAlign w:val="center"/>
          </w:tcPr>
          <w:p>
            <w:pPr>
              <w:jc w:val="center"/>
              <w:rPr>
                <w:rFonts w:cs="宋体" w:asciiTheme="minorEastAsia" w:hAnsiTheme="minorEastAsia"/>
                <w:szCs w:val="21"/>
              </w:rPr>
            </w:pPr>
            <w:r>
              <w:rPr>
                <w:rFonts w:hint="eastAsia" w:cs="宋体" w:asciiTheme="minorEastAsia" w:hAnsiTheme="minorEastAsia"/>
                <w:szCs w:val="21"/>
              </w:rPr>
              <w:t>金奖、铜奖</w:t>
            </w:r>
          </w:p>
        </w:tc>
      </w:tr>
      <w:tr>
        <w:tblPrEx>
          <w:tblLayout w:type="fixed"/>
          <w:tblCellMar>
            <w:top w:w="0" w:type="dxa"/>
            <w:left w:w="0" w:type="dxa"/>
            <w:bottom w:w="0" w:type="dxa"/>
            <w:right w:w="0" w:type="dxa"/>
          </w:tblCellMar>
        </w:tblPrEx>
        <w:trPr>
          <w:trHeight w:val="454" w:hRule="exact"/>
          <w:jc w:val="center"/>
        </w:trPr>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4</w:t>
            </w:r>
          </w:p>
        </w:tc>
        <w:tc>
          <w:tcPr>
            <w:tcW w:w="5166"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cs="Segoe UI" w:asciiTheme="minorEastAsia" w:hAnsiTheme="minorEastAsia"/>
                <w:color w:val="333333"/>
                <w:szCs w:val="21"/>
              </w:rPr>
              <w:t>新中装第20届</w:t>
            </w:r>
            <w:r>
              <w:rPr>
                <w:rFonts w:hint="eastAsia" w:cs="Segoe UI" w:asciiTheme="minorEastAsia" w:hAnsiTheme="minorEastAsia"/>
                <w:color w:val="333333"/>
                <w:szCs w:val="21"/>
              </w:rPr>
              <w:t>“</w:t>
            </w:r>
            <w:r>
              <w:rPr>
                <w:rFonts w:cs="Segoe UI" w:asciiTheme="minorEastAsia" w:hAnsiTheme="minorEastAsia"/>
                <w:color w:val="333333"/>
                <w:szCs w:val="21"/>
              </w:rPr>
              <w:t>中华杯</w:t>
            </w:r>
            <w:r>
              <w:rPr>
                <w:rFonts w:hint="eastAsia" w:cs="Segoe UI" w:asciiTheme="minorEastAsia" w:hAnsiTheme="minorEastAsia"/>
                <w:color w:val="333333"/>
                <w:szCs w:val="21"/>
              </w:rPr>
              <w:t>”</w:t>
            </w:r>
            <w:r>
              <w:rPr>
                <w:rFonts w:cs="Segoe UI" w:asciiTheme="minorEastAsia" w:hAnsiTheme="minorEastAsia"/>
                <w:color w:val="333333"/>
                <w:szCs w:val="21"/>
              </w:rPr>
              <w:t>国际服装设计大赛</w:t>
            </w:r>
          </w:p>
        </w:tc>
        <w:tc>
          <w:tcPr>
            <w:tcW w:w="2556" w:type="dxa"/>
            <w:tcBorders>
              <w:top w:val="single" w:color="000000" w:sz="6" w:space="0"/>
              <w:left w:val="single" w:color="000000" w:sz="6" w:space="0"/>
              <w:bottom w:val="single" w:color="000000" w:sz="6" w:space="0"/>
              <w:right w:val="single" w:color="000000" w:sz="6" w:space="0"/>
            </w:tcBorders>
            <w:vAlign w:val="center"/>
          </w:tcPr>
          <w:p>
            <w:pPr>
              <w:jc w:val="center"/>
              <w:rPr>
                <w:rFonts w:cs="宋体" w:asciiTheme="minorEastAsia" w:hAnsiTheme="minorEastAsia"/>
                <w:szCs w:val="21"/>
              </w:rPr>
            </w:pPr>
            <w:r>
              <w:rPr>
                <w:rFonts w:hint="eastAsia" w:cs="宋体" w:asciiTheme="minorEastAsia" w:hAnsiTheme="minorEastAsia"/>
                <w:szCs w:val="21"/>
              </w:rPr>
              <w:t>金奖</w:t>
            </w:r>
          </w:p>
        </w:tc>
      </w:tr>
      <w:tr>
        <w:tblPrEx>
          <w:tblLayout w:type="fixed"/>
          <w:tblCellMar>
            <w:top w:w="0" w:type="dxa"/>
            <w:left w:w="0" w:type="dxa"/>
            <w:bottom w:w="0" w:type="dxa"/>
            <w:right w:w="0" w:type="dxa"/>
          </w:tblCellMar>
        </w:tblPrEx>
        <w:trPr>
          <w:trHeight w:val="689" w:hRule="exact"/>
          <w:jc w:val="center"/>
        </w:trPr>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5</w:t>
            </w:r>
          </w:p>
        </w:tc>
        <w:tc>
          <w:tcPr>
            <w:tcW w:w="5166"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Segoe UI" w:asciiTheme="minorEastAsia" w:hAnsiTheme="minorEastAsia"/>
                <w:color w:val="333333"/>
                <w:szCs w:val="21"/>
              </w:rPr>
            </w:pPr>
            <w:r>
              <w:rPr>
                <w:rFonts w:hint="eastAsia" w:cs="Segoe UI" w:asciiTheme="minorEastAsia" w:hAnsiTheme="minorEastAsia"/>
                <w:color w:val="333333"/>
                <w:szCs w:val="21"/>
              </w:rPr>
              <w:t>2016第二届“海皮城杯”全国皮革服装制版大赛</w:t>
            </w:r>
          </w:p>
        </w:tc>
        <w:tc>
          <w:tcPr>
            <w:tcW w:w="2556" w:type="dxa"/>
            <w:tcBorders>
              <w:top w:val="single" w:color="000000" w:sz="6" w:space="0"/>
              <w:left w:val="single" w:color="000000" w:sz="6" w:space="0"/>
              <w:bottom w:val="single" w:color="000000" w:sz="6" w:space="0"/>
              <w:right w:val="single" w:color="000000" w:sz="6" w:space="0"/>
            </w:tcBorders>
            <w:vAlign w:val="center"/>
          </w:tcPr>
          <w:p>
            <w:pPr>
              <w:jc w:val="center"/>
              <w:rPr>
                <w:rFonts w:cs="宋体" w:asciiTheme="minorEastAsia" w:hAnsiTheme="minorEastAsia"/>
                <w:szCs w:val="21"/>
              </w:rPr>
            </w:pPr>
            <w:r>
              <w:rPr>
                <w:rFonts w:hint="eastAsia" w:cs="宋体" w:asciiTheme="minorEastAsia" w:hAnsiTheme="minorEastAsia"/>
                <w:szCs w:val="21"/>
              </w:rPr>
              <w:t>团体一等奖、金奖、银奖、铜奖</w:t>
            </w:r>
          </w:p>
        </w:tc>
      </w:tr>
      <w:tr>
        <w:tblPrEx>
          <w:tblLayout w:type="fixed"/>
          <w:tblCellMar>
            <w:top w:w="0" w:type="dxa"/>
            <w:left w:w="0" w:type="dxa"/>
            <w:bottom w:w="0" w:type="dxa"/>
            <w:right w:w="0" w:type="dxa"/>
          </w:tblCellMar>
        </w:tblPrEx>
        <w:trPr>
          <w:trHeight w:val="667" w:hRule="exact"/>
          <w:jc w:val="center"/>
        </w:trPr>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6</w:t>
            </w:r>
          </w:p>
        </w:tc>
        <w:tc>
          <w:tcPr>
            <w:tcW w:w="5166"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cs="Segoe UI" w:asciiTheme="minorEastAsia" w:hAnsiTheme="minorEastAsia"/>
                <w:color w:val="333333"/>
                <w:szCs w:val="21"/>
              </w:rPr>
              <w:t>2016</w:t>
            </w:r>
            <w:r>
              <w:rPr>
                <w:rFonts w:hint="eastAsia" w:cs="Segoe UI" w:asciiTheme="minorEastAsia" w:hAnsiTheme="minorEastAsia"/>
                <w:color w:val="333333"/>
                <w:szCs w:val="21"/>
              </w:rPr>
              <w:t>“</w:t>
            </w:r>
            <w:r>
              <w:rPr>
                <w:rFonts w:cs="Segoe UI" w:asciiTheme="minorEastAsia" w:hAnsiTheme="minorEastAsia"/>
                <w:color w:val="333333"/>
                <w:szCs w:val="21"/>
              </w:rPr>
              <w:t>真皮标志杯</w:t>
            </w:r>
            <w:r>
              <w:rPr>
                <w:rFonts w:hint="eastAsia" w:cs="Segoe UI" w:asciiTheme="minorEastAsia" w:hAnsiTheme="minorEastAsia"/>
                <w:color w:val="333333"/>
                <w:szCs w:val="21"/>
              </w:rPr>
              <w:t>”</w:t>
            </w:r>
            <w:r>
              <w:rPr>
                <w:rFonts w:cs="Segoe UI" w:asciiTheme="minorEastAsia" w:hAnsiTheme="minorEastAsia"/>
                <w:color w:val="333333"/>
                <w:szCs w:val="21"/>
              </w:rPr>
              <w:t>中国国际箱包皮具设计大赛</w:t>
            </w:r>
          </w:p>
        </w:tc>
        <w:tc>
          <w:tcPr>
            <w:tcW w:w="2556" w:type="dxa"/>
            <w:tcBorders>
              <w:top w:val="single" w:color="000000" w:sz="6" w:space="0"/>
              <w:left w:val="single" w:color="000000" w:sz="6" w:space="0"/>
              <w:bottom w:val="single" w:color="000000" w:sz="6" w:space="0"/>
              <w:right w:val="single" w:color="000000" w:sz="6" w:space="0"/>
            </w:tcBorders>
            <w:vAlign w:val="center"/>
          </w:tcPr>
          <w:p>
            <w:pPr>
              <w:jc w:val="center"/>
              <w:rPr>
                <w:rFonts w:cs="宋体" w:asciiTheme="minorEastAsia" w:hAnsiTheme="minorEastAsia"/>
                <w:szCs w:val="21"/>
              </w:rPr>
            </w:pPr>
            <w:r>
              <w:rPr>
                <w:rFonts w:cs="Segoe UI" w:asciiTheme="minorEastAsia" w:hAnsiTheme="minorEastAsia"/>
                <w:color w:val="333333"/>
                <w:szCs w:val="21"/>
              </w:rPr>
              <w:t>最佳色彩搭配奖、最佳市场潜力奖</w:t>
            </w:r>
          </w:p>
        </w:tc>
      </w:tr>
      <w:tr>
        <w:tblPrEx>
          <w:tblLayout w:type="fixed"/>
          <w:tblCellMar>
            <w:top w:w="0" w:type="dxa"/>
            <w:left w:w="0" w:type="dxa"/>
            <w:bottom w:w="0" w:type="dxa"/>
            <w:right w:w="0" w:type="dxa"/>
          </w:tblCellMar>
        </w:tblPrEx>
        <w:trPr>
          <w:trHeight w:val="454" w:hRule="exact"/>
          <w:jc w:val="center"/>
        </w:trPr>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7</w:t>
            </w:r>
          </w:p>
        </w:tc>
        <w:tc>
          <w:tcPr>
            <w:tcW w:w="5166"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Segoe UI" w:asciiTheme="minorEastAsia" w:hAnsiTheme="minorEastAsia"/>
                <w:color w:val="333333"/>
                <w:szCs w:val="21"/>
              </w:rPr>
              <w:t>“TOM DONG杯”2015中国(沙溪)服装设计大赛</w:t>
            </w:r>
          </w:p>
        </w:tc>
        <w:tc>
          <w:tcPr>
            <w:tcW w:w="2556" w:type="dxa"/>
            <w:tcBorders>
              <w:top w:val="single" w:color="000000" w:sz="6" w:space="0"/>
              <w:left w:val="single" w:color="000000" w:sz="6" w:space="0"/>
              <w:bottom w:val="single" w:color="000000" w:sz="6" w:space="0"/>
              <w:right w:val="single" w:color="000000" w:sz="6" w:space="0"/>
            </w:tcBorders>
            <w:vAlign w:val="center"/>
          </w:tcPr>
          <w:p>
            <w:pPr>
              <w:jc w:val="center"/>
              <w:rPr>
                <w:rFonts w:cs="宋体" w:asciiTheme="minorEastAsia" w:hAnsiTheme="minorEastAsia"/>
                <w:szCs w:val="21"/>
              </w:rPr>
            </w:pPr>
            <w:r>
              <w:rPr>
                <w:rFonts w:hint="eastAsia" w:cs="宋体" w:asciiTheme="minorEastAsia" w:hAnsiTheme="minorEastAsia"/>
                <w:szCs w:val="21"/>
              </w:rPr>
              <w:t>银奖</w:t>
            </w:r>
          </w:p>
        </w:tc>
      </w:tr>
      <w:tr>
        <w:tblPrEx>
          <w:tblLayout w:type="fixed"/>
          <w:tblCellMar>
            <w:top w:w="0" w:type="dxa"/>
            <w:left w:w="0" w:type="dxa"/>
            <w:bottom w:w="0" w:type="dxa"/>
            <w:right w:w="0" w:type="dxa"/>
          </w:tblCellMar>
        </w:tblPrEx>
        <w:trPr>
          <w:trHeight w:val="454" w:hRule="exact"/>
          <w:jc w:val="center"/>
        </w:trPr>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8</w:t>
            </w:r>
          </w:p>
        </w:tc>
        <w:tc>
          <w:tcPr>
            <w:tcW w:w="5166"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Segoe UI" w:asciiTheme="minorEastAsia" w:hAnsiTheme="minorEastAsia"/>
                <w:color w:val="333333"/>
                <w:szCs w:val="21"/>
              </w:rPr>
              <w:t>ShanghaiTex2015上海国际数码印花创意服装设计大赛</w:t>
            </w:r>
          </w:p>
        </w:tc>
        <w:tc>
          <w:tcPr>
            <w:tcW w:w="2556" w:type="dxa"/>
            <w:tcBorders>
              <w:top w:val="single" w:color="000000" w:sz="6" w:space="0"/>
              <w:left w:val="single" w:color="000000" w:sz="6" w:space="0"/>
              <w:bottom w:val="single" w:color="000000" w:sz="6" w:space="0"/>
              <w:right w:val="single" w:color="000000" w:sz="6" w:space="0"/>
            </w:tcBorders>
            <w:vAlign w:val="center"/>
          </w:tcPr>
          <w:p>
            <w:pPr>
              <w:jc w:val="center"/>
              <w:rPr>
                <w:rFonts w:cs="宋体" w:asciiTheme="minorEastAsia" w:hAnsiTheme="minorEastAsia"/>
                <w:szCs w:val="21"/>
              </w:rPr>
            </w:pPr>
            <w:r>
              <w:rPr>
                <w:rFonts w:hint="eastAsia" w:cs="宋体" w:asciiTheme="minorEastAsia" w:hAnsiTheme="minorEastAsia"/>
                <w:szCs w:val="21"/>
              </w:rPr>
              <w:t>银奖</w:t>
            </w:r>
          </w:p>
        </w:tc>
      </w:tr>
      <w:tr>
        <w:tblPrEx>
          <w:tblLayout w:type="fixed"/>
          <w:tblCellMar>
            <w:top w:w="0" w:type="dxa"/>
            <w:left w:w="0" w:type="dxa"/>
            <w:bottom w:w="0" w:type="dxa"/>
            <w:right w:w="0" w:type="dxa"/>
          </w:tblCellMar>
        </w:tblPrEx>
        <w:trPr>
          <w:trHeight w:val="454" w:hRule="exact"/>
          <w:jc w:val="center"/>
        </w:trPr>
        <w:tc>
          <w:tcPr>
            <w:tcW w:w="709"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宋体" w:asciiTheme="minorEastAsia" w:hAnsiTheme="minorEastAsia"/>
                <w:szCs w:val="21"/>
              </w:rPr>
              <w:t>9</w:t>
            </w:r>
          </w:p>
        </w:tc>
        <w:tc>
          <w:tcPr>
            <w:tcW w:w="5166" w:type="dxa"/>
            <w:tcBorders>
              <w:top w:val="single" w:color="000000" w:sz="6" w:space="0"/>
              <w:left w:val="single" w:color="000000" w:sz="6" w:space="0"/>
              <w:bottom w:val="single" w:color="000000" w:sz="6" w:space="0"/>
              <w:right w:val="single" w:color="000000" w:sz="6" w:space="0"/>
            </w:tcBorders>
            <w:tcMar>
              <w:top w:w="0" w:type="dxa"/>
              <w:left w:w="72" w:type="dxa"/>
              <w:bottom w:w="0" w:type="dxa"/>
              <w:right w:w="72" w:type="dxa"/>
            </w:tcMar>
            <w:vAlign w:val="center"/>
          </w:tcPr>
          <w:p>
            <w:pPr>
              <w:jc w:val="center"/>
              <w:rPr>
                <w:rFonts w:cs="宋体" w:asciiTheme="minorEastAsia" w:hAnsiTheme="minorEastAsia"/>
                <w:szCs w:val="21"/>
              </w:rPr>
            </w:pPr>
            <w:r>
              <w:rPr>
                <w:rFonts w:hint="eastAsia" w:cs="Segoe UI" w:asciiTheme="minorEastAsia" w:hAnsiTheme="minorEastAsia"/>
                <w:color w:val="333333"/>
                <w:szCs w:val="21"/>
              </w:rPr>
              <w:t>“中时OFD杯”第六届中国服装设计师生作品大赛</w:t>
            </w:r>
          </w:p>
        </w:tc>
        <w:tc>
          <w:tcPr>
            <w:tcW w:w="2556" w:type="dxa"/>
            <w:tcBorders>
              <w:top w:val="single" w:color="000000" w:sz="6" w:space="0"/>
              <w:left w:val="single" w:color="000000" w:sz="6" w:space="0"/>
              <w:bottom w:val="single" w:color="000000" w:sz="6" w:space="0"/>
              <w:right w:val="single" w:color="000000" w:sz="6" w:space="0"/>
            </w:tcBorders>
            <w:vAlign w:val="center"/>
          </w:tcPr>
          <w:p>
            <w:pPr>
              <w:jc w:val="center"/>
              <w:rPr>
                <w:rFonts w:cs="宋体" w:asciiTheme="minorEastAsia" w:hAnsiTheme="minorEastAsia"/>
                <w:szCs w:val="21"/>
              </w:rPr>
            </w:pPr>
            <w:r>
              <w:rPr>
                <w:rFonts w:hint="eastAsia" w:cs="宋体" w:asciiTheme="minorEastAsia" w:hAnsiTheme="minorEastAsia"/>
                <w:szCs w:val="21"/>
              </w:rPr>
              <w:t>金奖、银奖</w:t>
            </w:r>
          </w:p>
        </w:tc>
      </w:tr>
    </w:tbl>
    <w:p>
      <w:pPr>
        <w:jc w:val="center"/>
        <w:rPr>
          <w:rFonts w:ascii="宋体" w:hAnsi="宋体"/>
          <w:sz w:val="24"/>
        </w:rPr>
      </w:pPr>
      <w:r>
        <w:rPr>
          <w:rFonts w:hint="eastAsia" w:ascii="宋体" w:hAnsi="宋体"/>
          <w:sz w:val="24"/>
        </w:rPr>
        <w:drawing>
          <wp:inline distT="0" distB="0" distL="0" distR="0">
            <wp:extent cx="3808730" cy="2848610"/>
            <wp:effectExtent l="0" t="0" r="1270" b="8890"/>
            <wp:docPr id="1" name="图片 18" descr="20160524013140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descr="20160524013140827"/>
                    <pic:cNvPicPr>
                      <a:picLocks noChangeAspect="1" noChangeArrowheads="1"/>
                    </pic:cNvPicPr>
                  </pic:nvPicPr>
                  <pic:blipFill>
                    <a:blip r:embed="rId22" cstate="print">
                      <a:extLst>
                        <a:ext uri="{BEBA8EAE-BF5A-486C-A8C5-ECC9F3942E4B}">
                          <a14:imgProps xmlns:a14="http://schemas.microsoft.com/office/drawing/2010/main">
                            <a14:imgLayer r:embed="rId23">
                              <a14:imgEffect>
                                <a14:sharpenSoften amount="25000"/>
                              </a14:imgEffect>
                            </a14:imgLayer>
                          </a14:imgProps>
                        </a:ext>
                        <a:ext uri="{28A0092B-C50C-407E-A947-70E740481C1C}">
                          <a14:useLocalDpi xmlns:a14="http://schemas.microsoft.com/office/drawing/2010/main" val="0"/>
                        </a:ext>
                      </a:extLst>
                    </a:blip>
                    <a:srcRect/>
                    <a:stretch>
                      <a:fillRect/>
                    </a:stretch>
                  </pic:blipFill>
                  <pic:spPr>
                    <a:xfrm>
                      <a:off x="0" y="0"/>
                      <a:ext cx="3828022" cy="2863402"/>
                    </a:xfrm>
                    <a:prstGeom prst="rect">
                      <a:avLst/>
                    </a:prstGeom>
                    <a:noFill/>
                    <a:ln>
                      <a:noFill/>
                    </a:ln>
                  </pic:spPr>
                </pic:pic>
              </a:graphicData>
            </a:graphic>
          </wp:inline>
        </w:drawing>
      </w:r>
    </w:p>
    <w:p>
      <w:pPr>
        <w:jc w:val="center"/>
        <w:rPr>
          <w:rFonts w:asciiTheme="minorEastAsia" w:hAnsiTheme="minorEastAsia"/>
          <w:szCs w:val="21"/>
        </w:rPr>
      </w:pPr>
      <w:r>
        <w:rPr>
          <w:rFonts w:hint="eastAsia" w:ascii="宋体" w:hAnsi="宋体"/>
          <w:szCs w:val="21"/>
        </w:rPr>
        <w:t xml:space="preserve"> </w:t>
      </w:r>
      <w:r>
        <w:rPr>
          <w:rFonts w:hint="eastAsia" w:asciiTheme="minorEastAsia" w:hAnsiTheme="minorEastAsia"/>
          <w:szCs w:val="21"/>
        </w:rPr>
        <w:t xml:space="preserve"> 图6-1</w:t>
      </w:r>
      <w:bookmarkStart w:id="387" w:name="_Toc30583"/>
      <w:bookmarkStart w:id="388" w:name="_Toc378000182"/>
      <w:r>
        <w:rPr>
          <w:rFonts w:hint="eastAsia" w:asciiTheme="minorEastAsia" w:hAnsiTheme="minorEastAsia"/>
          <w:szCs w:val="21"/>
        </w:rPr>
        <w:t>韦艳梅同学荣获第21届中国时装设计新人奖第一名</w:t>
      </w:r>
    </w:p>
    <w:p>
      <w:pPr>
        <w:jc w:val="center"/>
        <w:rPr>
          <w:rFonts w:asciiTheme="minorEastAsia" w:hAnsiTheme="minorEastAsia"/>
          <w:szCs w:val="21"/>
        </w:rPr>
      </w:pPr>
    </w:p>
    <w:p>
      <w:pPr>
        <w:jc w:val="center"/>
        <w:rPr>
          <w:rFonts w:cs="Segoe UI"/>
        </w:rPr>
      </w:pPr>
      <w:r>
        <w:rPr>
          <w:rFonts w:hint="eastAsia" w:cs="Segoe UI"/>
        </w:rPr>
        <w:drawing>
          <wp:inline distT="0" distB="0" distL="0" distR="0">
            <wp:extent cx="3798570" cy="2848610"/>
            <wp:effectExtent l="0" t="0" r="0" b="8890"/>
            <wp:docPr id="2" name="图片 17" descr="20160524013127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descr="20160524013127320"/>
                    <pic:cNvPicPr>
                      <a:picLocks noChangeAspect="1" noChangeArrowheads="1"/>
                    </pic:cNvPicPr>
                  </pic:nvPicPr>
                  <pic:blipFill>
                    <a:blip r:embed="rId24" cstate="print">
                      <a:extLst>
                        <a:ext uri="{BEBA8EAE-BF5A-486C-A8C5-ECC9F3942E4B}">
                          <a14:imgProps xmlns:a14="http://schemas.microsoft.com/office/drawing/2010/main">
                            <a14:imgLayer r:embed="rId25">
                              <a14:imgEffect>
                                <a14:sharpenSoften amount="25000"/>
                              </a14:imgEffect>
                            </a14:imgLayer>
                          </a14:imgProps>
                        </a:ext>
                        <a:ext uri="{28A0092B-C50C-407E-A947-70E740481C1C}">
                          <a14:useLocalDpi xmlns:a14="http://schemas.microsoft.com/office/drawing/2010/main" val="0"/>
                        </a:ext>
                      </a:extLst>
                    </a:blip>
                    <a:srcRect/>
                    <a:stretch>
                      <a:fillRect/>
                    </a:stretch>
                  </pic:blipFill>
                  <pic:spPr>
                    <a:xfrm>
                      <a:off x="0" y="0"/>
                      <a:ext cx="3846814" cy="2885112"/>
                    </a:xfrm>
                    <a:prstGeom prst="rect">
                      <a:avLst/>
                    </a:prstGeom>
                    <a:noFill/>
                    <a:ln>
                      <a:noFill/>
                    </a:ln>
                  </pic:spPr>
                </pic:pic>
              </a:graphicData>
            </a:graphic>
          </wp:inline>
        </w:drawing>
      </w:r>
    </w:p>
    <w:p>
      <w:pPr>
        <w:jc w:val="center"/>
        <w:rPr>
          <w:rFonts w:cs="Segoe UI" w:asciiTheme="minorEastAsia" w:hAnsiTheme="minorEastAsia"/>
        </w:rPr>
      </w:pPr>
      <w:r>
        <w:rPr>
          <w:rFonts w:hint="eastAsia" w:asciiTheme="minorEastAsia" w:hAnsiTheme="minorEastAsia"/>
          <w:szCs w:val="21"/>
        </w:rPr>
        <w:t>图6-2服装设计</w:t>
      </w:r>
      <w:r>
        <w:rPr>
          <w:rFonts w:hint="eastAsia" w:cs="Segoe UI" w:asciiTheme="minorEastAsia" w:hAnsiTheme="minorEastAsia"/>
        </w:rPr>
        <w:t>毕业作品在2016中国国际大学生时装周发布</w:t>
      </w:r>
      <w:bookmarkStart w:id="389" w:name="_Toc465433513"/>
    </w:p>
    <w:p>
      <w:pPr>
        <w:pStyle w:val="3"/>
        <w:spacing w:line="240" w:lineRule="auto"/>
        <w:ind w:left="0" w:firstLine="0" w:firstLineChars="0"/>
        <w:rPr>
          <w:rFonts w:ascii="黑体" w:hAnsi="黑体" w:cs="宋体"/>
          <w:b w:val="0"/>
          <w:bCs w:val="0"/>
          <w:snapToGrid/>
        </w:rPr>
      </w:pPr>
      <w:bookmarkStart w:id="390" w:name="_Toc469900342"/>
      <w:bookmarkStart w:id="391" w:name="_Toc465671344"/>
      <w:bookmarkStart w:id="392" w:name="_Toc15081"/>
      <w:bookmarkStart w:id="393" w:name="_Toc465499619"/>
      <w:bookmarkStart w:id="394" w:name="_Toc469036869"/>
      <w:bookmarkStart w:id="395" w:name="_Toc465498482"/>
      <w:r>
        <w:rPr>
          <w:rFonts w:ascii="黑体" w:hAnsi="黑体" w:cs="宋体"/>
          <w:b w:val="0"/>
          <w:bCs w:val="0"/>
          <w:snapToGrid/>
        </w:rPr>
        <w:t>（</w:t>
      </w:r>
      <w:r>
        <w:rPr>
          <w:rFonts w:hint="eastAsia" w:ascii="黑体" w:hAnsi="黑体" w:cs="宋体"/>
          <w:b w:val="0"/>
          <w:bCs w:val="0"/>
          <w:snapToGrid/>
        </w:rPr>
        <w:t>六</w:t>
      </w:r>
      <w:r>
        <w:rPr>
          <w:rFonts w:ascii="黑体" w:hAnsi="黑体" w:cs="宋体"/>
          <w:b w:val="0"/>
          <w:bCs w:val="0"/>
          <w:snapToGrid/>
        </w:rPr>
        <w:t>）</w:t>
      </w:r>
      <w:bookmarkEnd w:id="387"/>
      <w:bookmarkEnd w:id="388"/>
      <w:r>
        <w:rPr>
          <w:rFonts w:hint="eastAsia" w:ascii="黑体" w:hAnsi="黑体" w:cs="宋体"/>
          <w:b w:val="0"/>
          <w:bCs w:val="0"/>
          <w:snapToGrid/>
        </w:rPr>
        <w:t>毕业生</w:t>
      </w:r>
      <w:r>
        <w:rPr>
          <w:rFonts w:ascii="黑体" w:hAnsi="黑体" w:cs="宋体"/>
          <w:b w:val="0"/>
          <w:bCs w:val="0"/>
          <w:snapToGrid/>
        </w:rPr>
        <w:t>成就</w:t>
      </w:r>
      <w:bookmarkEnd w:id="389"/>
      <w:bookmarkEnd w:id="390"/>
      <w:bookmarkEnd w:id="391"/>
      <w:bookmarkEnd w:id="392"/>
      <w:bookmarkEnd w:id="393"/>
      <w:bookmarkEnd w:id="394"/>
      <w:bookmarkEnd w:id="395"/>
    </w:p>
    <w:p>
      <w:pPr>
        <w:spacing w:line="400" w:lineRule="exact"/>
        <w:ind w:firstLine="480" w:firstLineChars="200"/>
        <w:jc w:val="both"/>
        <w:rPr>
          <w:rFonts w:asciiTheme="minorEastAsia" w:hAnsiTheme="minorEastAsia" w:cstheme="minorEastAsia"/>
          <w:sz w:val="24"/>
          <w:szCs w:val="24"/>
        </w:rPr>
      </w:pPr>
      <w:bookmarkStart w:id="396" w:name="_Toc378000188"/>
      <w:bookmarkStart w:id="397" w:name="_Toc19390"/>
      <w:r>
        <w:rPr>
          <w:rFonts w:hint="eastAsia" w:asciiTheme="minorEastAsia" w:hAnsiTheme="minorEastAsia" w:cstheme="minorEastAsia"/>
          <w:sz w:val="24"/>
          <w:szCs w:val="24"/>
        </w:rPr>
        <w:t>学校在办学二十余年的过程中，培养了一大批业界精英，</w:t>
      </w:r>
      <w:r>
        <w:rPr>
          <w:rFonts w:asciiTheme="minorEastAsia" w:hAnsiTheme="minorEastAsia" w:cstheme="minorEastAsia"/>
          <w:sz w:val="24"/>
          <w:szCs w:val="24"/>
        </w:rPr>
        <w:t>为我国尤其是</w:t>
      </w:r>
      <w:r>
        <w:rPr>
          <w:rFonts w:hint="eastAsia" w:asciiTheme="minorEastAsia" w:hAnsiTheme="minorEastAsia" w:cstheme="minorEastAsia"/>
          <w:sz w:val="24"/>
          <w:szCs w:val="24"/>
        </w:rPr>
        <w:t>珠三角和长三角一带的</w:t>
      </w:r>
      <w:r>
        <w:rPr>
          <w:rFonts w:asciiTheme="minorEastAsia" w:hAnsiTheme="minorEastAsia" w:cstheme="minorEastAsia"/>
          <w:sz w:val="24"/>
          <w:szCs w:val="24"/>
        </w:rPr>
        <w:t>经济与社会发展做出重要贡献</w:t>
      </w:r>
      <w:r>
        <w:rPr>
          <w:rFonts w:hint="eastAsia" w:asciiTheme="minorEastAsia" w:hAnsiTheme="minorEastAsia" w:cstheme="minorEastAsia"/>
          <w:sz w:val="24"/>
          <w:szCs w:val="24"/>
        </w:rPr>
        <w:t>，涌现出了一批服装品牌企业的设计师、设计总监、营销总监、公司</w:t>
      </w:r>
      <w:r>
        <w:rPr>
          <w:rFonts w:asciiTheme="minorEastAsia" w:hAnsiTheme="minorEastAsia" w:cstheme="minorEastAsia"/>
          <w:sz w:val="24"/>
          <w:szCs w:val="24"/>
        </w:rPr>
        <w:t>CEO</w:t>
      </w:r>
      <w:r>
        <w:rPr>
          <w:rFonts w:hint="eastAsia" w:asciiTheme="minorEastAsia" w:hAnsiTheme="minorEastAsia" w:cstheme="minorEastAsia"/>
          <w:sz w:val="24"/>
          <w:szCs w:val="24"/>
        </w:rPr>
        <w:t>等。既有早已成为业内翘楚的刘江宏、万明亮、刘小飞、陈坤、魏新坤等四位“中国十佳时装设计师”，郭志强、虞泽东、丁潜波、肖桂龙等创业明星；又有新近涌现出的一批才俊。他（她）们来自全国各地，在江服这绮丽的艺术殿堂奠基，又从这里出发走向全国各地放飞自己的梦想，在服装业界大显身手，推动中国“服装强国梦”的实现。每一位从江服毕业的校友都是母校最好的名片，校友更是学校长期发展的坚实力量。</w:t>
      </w:r>
    </w:p>
    <w:bookmarkEnd w:id="396"/>
    <w:p>
      <w:pPr>
        <w:pStyle w:val="2"/>
        <w:spacing w:before="0" w:after="0" w:line="240" w:lineRule="auto"/>
        <w:rPr>
          <w:rFonts w:ascii="黑体" w:hAnsi="黑体" w:eastAsia="黑体" w:cs="宋体"/>
          <w:b w:val="0"/>
          <w:bCs w:val="0"/>
          <w:snapToGrid w:val="0"/>
          <w:sz w:val="30"/>
          <w:szCs w:val="30"/>
        </w:rPr>
      </w:pPr>
      <w:bookmarkStart w:id="398" w:name="_Toc465499620"/>
      <w:bookmarkStart w:id="399" w:name="_Toc465671345"/>
      <w:bookmarkStart w:id="400" w:name="_Toc465498483"/>
      <w:bookmarkStart w:id="401" w:name="_Toc469900343"/>
      <w:bookmarkStart w:id="402" w:name="_Toc465417302"/>
      <w:bookmarkStart w:id="403" w:name="_Toc6004"/>
      <w:bookmarkStart w:id="404" w:name="_Toc465433514"/>
      <w:bookmarkStart w:id="405" w:name="_Toc469036870"/>
      <w:r>
        <w:rPr>
          <w:rFonts w:hint="eastAsia" w:ascii="黑体" w:hAnsi="黑体" w:eastAsia="黑体" w:cs="宋体"/>
          <w:b w:val="0"/>
          <w:bCs w:val="0"/>
          <w:snapToGrid w:val="0"/>
          <w:sz w:val="30"/>
          <w:szCs w:val="30"/>
        </w:rPr>
        <w:t>七、</w:t>
      </w:r>
      <w:bookmarkEnd w:id="397"/>
      <w:r>
        <w:rPr>
          <w:rFonts w:hint="eastAsia" w:ascii="黑体" w:hAnsi="黑体" w:eastAsia="黑体" w:cs="宋体"/>
          <w:b w:val="0"/>
          <w:bCs w:val="0"/>
          <w:snapToGrid w:val="0"/>
          <w:sz w:val="30"/>
          <w:szCs w:val="30"/>
        </w:rPr>
        <w:t>特色发展</w:t>
      </w:r>
      <w:bookmarkEnd w:id="398"/>
      <w:bookmarkEnd w:id="399"/>
      <w:bookmarkEnd w:id="400"/>
      <w:bookmarkEnd w:id="401"/>
      <w:bookmarkEnd w:id="402"/>
      <w:bookmarkEnd w:id="403"/>
      <w:bookmarkEnd w:id="404"/>
      <w:bookmarkEnd w:id="405"/>
    </w:p>
    <w:p>
      <w:pPr>
        <w:pStyle w:val="3"/>
        <w:spacing w:line="240" w:lineRule="auto"/>
        <w:ind w:left="0" w:firstLine="0" w:firstLineChars="0"/>
        <w:rPr>
          <w:rFonts w:ascii="黑体" w:hAnsi="黑体" w:cs="宋体"/>
          <w:b w:val="0"/>
          <w:bCs w:val="0"/>
          <w:snapToGrid/>
        </w:rPr>
      </w:pPr>
      <w:bookmarkStart w:id="406" w:name="_Toc465671346"/>
      <w:bookmarkStart w:id="407" w:name="_Toc465498484"/>
      <w:bookmarkStart w:id="408" w:name="_Toc469036871"/>
      <w:bookmarkStart w:id="409" w:name="_Toc7600"/>
      <w:bookmarkStart w:id="410" w:name="_Toc465433515"/>
      <w:bookmarkStart w:id="411" w:name="_Toc465417303"/>
      <w:bookmarkStart w:id="412" w:name="_Toc465499621"/>
      <w:bookmarkStart w:id="413" w:name="_Toc469900344"/>
      <w:r>
        <w:rPr>
          <w:rFonts w:hint="eastAsia" w:ascii="黑体" w:hAnsi="黑体" w:cs="宋体"/>
          <w:b w:val="0"/>
          <w:bCs w:val="0"/>
          <w:snapToGrid/>
        </w:rPr>
        <w:t>（一）实行校政合作，借势进入产业市场</w:t>
      </w:r>
      <w:bookmarkEnd w:id="406"/>
      <w:bookmarkEnd w:id="407"/>
      <w:bookmarkEnd w:id="408"/>
      <w:bookmarkEnd w:id="409"/>
      <w:bookmarkEnd w:id="410"/>
      <w:bookmarkEnd w:id="411"/>
      <w:bookmarkEnd w:id="412"/>
      <w:bookmarkEnd w:id="413"/>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为深化政、产、学、研、用合作，集成各类服装产业，进一步扩大和深化江西服装学院与福建石狮市政府的务实合作，助推石狮市“东方米兰计划”和“人才、人口、人气”聚集工程，提升江服与石狮市的协同创新能力，开创优势互补、互利共赢、共同发展新局面，江服与石狮市签订市校战略合作协议，并组建了江服石狮服饰设计研究院，为石狮市打造成为中国服装强市、为把江西服装学院打造成为中国服装名校开创发展新局面。与共青城市政府共同建立共青研究院；与青山湖区政府共同打造江西针织品牌基地；与华南城共建大型服装电子商务平台；学院与福建省石狮市政府签订了战略合作协议，与共青城市政府共同打造江西羽绒服时尚园；与青山湖区政府共同打造江西针织品牌基地；与华南城共建大型服装电子商务平台；另外，我院还承办了江西省政府委托的培训项目“江西纺织服装产业链总裁高级研修班”。在校企合作方面先后承担与江西恩达苎麻有限公司、南昌新华瑞制衣有限公司、江苏阿仕顿服饰有限公司等许多省内外企业的委托项目。</w:t>
      </w:r>
    </w:p>
    <w:p>
      <w:pPr>
        <w:jc w:val="center"/>
        <w:rPr>
          <w:rFonts w:ascii="宋体" w:hAnsi="宋体"/>
          <w:sz w:val="24"/>
        </w:rPr>
      </w:pPr>
      <w:r>
        <w:rPr>
          <w:rFonts w:ascii="宋体" w:hAnsi="宋体"/>
          <w:sz w:val="24"/>
        </w:rPr>
        <w:drawing>
          <wp:inline distT="0" distB="0" distL="0" distR="0">
            <wp:extent cx="3782695" cy="1963420"/>
            <wp:effectExtent l="0" t="0" r="8255" b="0"/>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pic:cNvPicPr>
                      <a:picLocks noChangeAspect="1" noChangeArrowheads="1"/>
                    </pic:cNvPicPr>
                  </pic:nvPicPr>
                  <pic:blipFill>
                    <a:blip r:embed="rId26" cstate="print">
                      <a:extLst>
                        <a:ext uri="{BEBA8EAE-BF5A-486C-A8C5-ECC9F3942E4B}">
                          <a14:imgProps xmlns:a14="http://schemas.microsoft.com/office/drawing/2010/main">
                            <a14:imgLayer r:embed="rId27">
                              <a14:imgEffect>
                                <a14:brightnessContrast bright="20000" contrast="-20000"/>
                              </a14:imgEffect>
                              <a14:imgEffect>
                                <a14:sharpenSoften amount="25000"/>
                              </a14:imgEffect>
                            </a14:imgLayer>
                          </a14:imgProps>
                        </a:ext>
                        <a:ext uri="{28A0092B-C50C-407E-A947-70E740481C1C}">
                          <a14:useLocalDpi xmlns:a14="http://schemas.microsoft.com/office/drawing/2010/main" val="0"/>
                        </a:ext>
                      </a:extLst>
                    </a:blip>
                    <a:srcRect/>
                    <a:stretch>
                      <a:fillRect/>
                    </a:stretch>
                  </pic:blipFill>
                  <pic:spPr>
                    <a:xfrm>
                      <a:off x="0" y="0"/>
                      <a:ext cx="3796701" cy="1970807"/>
                    </a:xfrm>
                    <a:prstGeom prst="rect">
                      <a:avLst/>
                    </a:prstGeom>
                    <a:noFill/>
                    <a:ln>
                      <a:noFill/>
                    </a:ln>
                  </pic:spPr>
                </pic:pic>
              </a:graphicData>
            </a:graphic>
          </wp:inline>
        </w:drawing>
      </w:r>
    </w:p>
    <w:p>
      <w:pPr>
        <w:jc w:val="center"/>
        <w:rPr>
          <w:rFonts w:ascii="宋体" w:hAnsi="宋体"/>
          <w:szCs w:val="21"/>
        </w:rPr>
      </w:pPr>
      <w:r>
        <w:rPr>
          <w:rFonts w:hint="eastAsia" w:ascii="宋体" w:hAnsi="宋体"/>
          <w:szCs w:val="21"/>
        </w:rPr>
        <w:t>图7-1产学研合作签约仪式</w:t>
      </w:r>
      <w:bookmarkStart w:id="414" w:name="_Toc465417304"/>
      <w:bookmarkStart w:id="415" w:name="_Toc465433516"/>
    </w:p>
    <w:p>
      <w:pPr>
        <w:pStyle w:val="3"/>
        <w:spacing w:line="240" w:lineRule="auto"/>
        <w:ind w:left="0" w:firstLine="0" w:firstLineChars="0"/>
        <w:rPr>
          <w:rFonts w:ascii="黑体" w:hAnsi="黑体" w:cs="宋体"/>
          <w:b w:val="0"/>
          <w:bCs w:val="0"/>
          <w:snapToGrid/>
        </w:rPr>
      </w:pPr>
      <w:bookmarkStart w:id="416" w:name="_Toc469036872"/>
      <w:bookmarkStart w:id="417" w:name="_Toc465498485"/>
      <w:bookmarkStart w:id="418" w:name="_Toc465499622"/>
      <w:bookmarkStart w:id="419" w:name="_Toc465671347"/>
      <w:bookmarkStart w:id="420" w:name="_Toc27477"/>
      <w:bookmarkStart w:id="421" w:name="_Toc469900345"/>
      <w:r>
        <w:rPr>
          <w:rFonts w:hint="eastAsia" w:ascii="黑体" w:hAnsi="黑体" w:cs="宋体"/>
          <w:b w:val="0"/>
          <w:bCs w:val="0"/>
          <w:snapToGrid/>
        </w:rPr>
        <w:t>（二）办学规模适度，坚持服装教育特色</w:t>
      </w:r>
      <w:bookmarkEnd w:id="414"/>
      <w:bookmarkEnd w:id="415"/>
      <w:bookmarkEnd w:id="416"/>
      <w:bookmarkEnd w:id="417"/>
      <w:bookmarkEnd w:id="418"/>
      <w:bookmarkEnd w:id="419"/>
      <w:bookmarkEnd w:id="420"/>
      <w:bookmarkEnd w:id="421"/>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学院适时地调整学校发展思路，实现从求“量”到求“质”的转变。学院围绕服装行业产业对人才的需求设置专业，把以往开设的与服装无关或关系不大的专业全部停办，使学校形成了贴近市场、面向服装行业门类齐全的服装教育专业体系，成为“服装人才超市”，各类服装企业及企业内各岗位需要的人才在学校基本都能找到。学院提出办“规模适度、特色鲜明”的应用型本科院校，努力实现“国内著名、业界一流”的办学目标，把原定要办3万人左右的规模调整为不超过1.2万人。走“内涵式、特色型、国际化”办学之路。</w:t>
      </w:r>
    </w:p>
    <w:p>
      <w:pPr>
        <w:pStyle w:val="2"/>
        <w:spacing w:before="0" w:after="0" w:line="240" w:lineRule="auto"/>
        <w:rPr>
          <w:rFonts w:ascii="黑体" w:hAnsi="黑体" w:eastAsia="黑体" w:cs="宋体"/>
          <w:b w:val="0"/>
          <w:bCs w:val="0"/>
          <w:snapToGrid w:val="0"/>
          <w:sz w:val="30"/>
          <w:szCs w:val="30"/>
        </w:rPr>
      </w:pPr>
      <w:bookmarkStart w:id="422" w:name="_Toc465417306"/>
      <w:bookmarkStart w:id="423" w:name="_Toc469036873"/>
      <w:bookmarkStart w:id="424" w:name="_Toc1413"/>
      <w:bookmarkStart w:id="425" w:name="_Toc469900346"/>
      <w:bookmarkStart w:id="426" w:name="_Toc465433518"/>
      <w:bookmarkStart w:id="427" w:name="_Toc465498487"/>
      <w:bookmarkStart w:id="428" w:name="_Toc465671348"/>
      <w:bookmarkStart w:id="429" w:name="_Toc465499623"/>
      <w:r>
        <w:rPr>
          <w:rFonts w:hint="eastAsia" w:ascii="黑体" w:hAnsi="黑体" w:eastAsia="黑体" w:cs="宋体"/>
          <w:b w:val="0"/>
          <w:bCs w:val="0"/>
          <w:snapToGrid w:val="0"/>
          <w:sz w:val="30"/>
          <w:szCs w:val="30"/>
        </w:rPr>
        <w:t>八、</w:t>
      </w:r>
      <w:bookmarkEnd w:id="422"/>
      <w:r>
        <w:rPr>
          <w:rFonts w:hint="eastAsia" w:ascii="黑体" w:hAnsi="黑体" w:eastAsia="黑体" w:cs="宋体"/>
          <w:b w:val="0"/>
          <w:bCs w:val="0"/>
          <w:snapToGrid w:val="0"/>
          <w:sz w:val="30"/>
          <w:szCs w:val="30"/>
        </w:rPr>
        <w:t>存在的主要问题与对策分析</w:t>
      </w:r>
      <w:bookmarkEnd w:id="423"/>
      <w:bookmarkEnd w:id="424"/>
      <w:bookmarkEnd w:id="425"/>
      <w:bookmarkEnd w:id="426"/>
      <w:bookmarkEnd w:id="427"/>
      <w:bookmarkEnd w:id="428"/>
      <w:bookmarkEnd w:id="429"/>
    </w:p>
    <w:p>
      <w:pPr>
        <w:pStyle w:val="3"/>
        <w:spacing w:line="240" w:lineRule="auto"/>
        <w:ind w:left="0" w:firstLine="0" w:firstLineChars="0"/>
        <w:rPr>
          <w:rFonts w:ascii="黑体" w:hAnsi="黑体" w:cs="宋体"/>
          <w:b w:val="0"/>
          <w:bCs w:val="0"/>
          <w:snapToGrid/>
        </w:rPr>
      </w:pPr>
      <w:bookmarkStart w:id="430" w:name="_Toc469900347"/>
      <w:bookmarkStart w:id="431" w:name="_Toc266"/>
      <w:r>
        <w:rPr>
          <w:rFonts w:hint="eastAsia" w:ascii="黑体" w:hAnsi="黑体" w:cs="宋体"/>
          <w:b w:val="0"/>
          <w:bCs w:val="0"/>
          <w:snapToGrid/>
        </w:rPr>
        <w:t>（一）</w:t>
      </w:r>
      <w:r>
        <w:rPr>
          <w:rFonts w:ascii="黑体" w:hAnsi="黑体" w:cs="宋体"/>
          <w:b w:val="0"/>
          <w:bCs w:val="0"/>
          <w:snapToGrid/>
        </w:rPr>
        <w:t>实施人才建设工程，优化师资队</w:t>
      </w:r>
      <w:r>
        <w:rPr>
          <w:rFonts w:hint="eastAsia" w:ascii="黑体" w:hAnsi="黑体" w:cs="宋体"/>
          <w:b w:val="0"/>
          <w:bCs w:val="0"/>
          <w:snapToGrid/>
        </w:rPr>
        <w:t>伍</w:t>
      </w:r>
      <w:bookmarkEnd w:id="430"/>
      <w:bookmarkEnd w:id="431"/>
    </w:p>
    <w:p>
      <w:pPr>
        <w:spacing w:line="400" w:lineRule="exact"/>
        <w:ind w:firstLine="482" w:firstLineChars="200"/>
        <w:jc w:val="both"/>
        <w:rPr>
          <w:rFonts w:asciiTheme="minorEastAsia" w:hAnsiTheme="minorEastAsia" w:cstheme="minorEastAsia"/>
          <w:sz w:val="24"/>
          <w:szCs w:val="24"/>
        </w:rPr>
      </w:pPr>
      <w:r>
        <w:rPr>
          <w:rFonts w:hint="eastAsia" w:asciiTheme="minorEastAsia" w:hAnsiTheme="minorEastAsia" w:cstheme="minorEastAsia"/>
          <w:b/>
          <w:sz w:val="24"/>
          <w:szCs w:val="24"/>
        </w:rPr>
        <w:t>问题描述。</w:t>
      </w:r>
      <w:r>
        <w:rPr>
          <w:rFonts w:hint="eastAsia" w:asciiTheme="minorEastAsia" w:hAnsiTheme="minorEastAsia" w:cstheme="minorEastAsia"/>
          <w:sz w:val="24"/>
          <w:szCs w:val="24"/>
        </w:rPr>
        <w:t xml:space="preserve">办学条件保障是民办高校的老大难问题，其中最核心的当属师资队伍保障的问题。教师队伍建设，一直是学校高度重视的內容。虽然经过努力，学校已经建立了一支素质较高的专兼职教师队伍，但是与学校的办学需求相比，无论从数量还是质量还亟待进一步提高。制约人员队伍建设的根本问题是制度瓶颈，尤其是身份认同机制、评聘制度和薪金待遇制度。民办高校缺乏深度的社会认可与信任，要引进一些优秀的行业企业骨干和高校教师非常困难。为了激发教师尤其是骨干教师的工作积极性，学校也计划推进骨干人员激励计划，但是却又遇到办学资源不足等深层次障碍。 </w:t>
      </w:r>
    </w:p>
    <w:p>
      <w:pPr>
        <w:spacing w:line="400" w:lineRule="exact"/>
        <w:ind w:firstLine="482" w:firstLineChars="200"/>
        <w:jc w:val="both"/>
        <w:rPr>
          <w:rFonts w:asciiTheme="minorEastAsia" w:hAnsiTheme="minorEastAsia" w:cstheme="minorEastAsia"/>
          <w:sz w:val="24"/>
          <w:szCs w:val="24"/>
        </w:rPr>
      </w:pPr>
      <w:r>
        <w:rPr>
          <w:rFonts w:hint="eastAsia" w:asciiTheme="minorEastAsia" w:hAnsiTheme="minorEastAsia" w:cstheme="minorEastAsia"/>
          <w:b/>
          <w:sz w:val="24"/>
          <w:szCs w:val="24"/>
        </w:rPr>
        <w:t>解决思路。</w:t>
      </w:r>
      <w:r>
        <w:rPr>
          <w:rFonts w:hint="eastAsia" w:asciiTheme="minorEastAsia" w:hAnsiTheme="minorEastAsia" w:cstheme="minorEastAsia"/>
          <w:sz w:val="24"/>
          <w:szCs w:val="24"/>
        </w:rPr>
        <w:t xml:space="preserve">持续改革、推进支持高水平的双师双能型教师队伍建设的灵活机制，持续改革人才引进机制、人才培养机制、人才聘用机制和人才考核机制，努力营造双师双能型教师成长发展的事业条件、制度环境和文化氛围。 </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 xml:space="preserve">1.成立教师教学发展中心，致力于教师教学、科研能力的培养和全面素质的提高。采取“专兼结合，引培并举，才智并重”的原则，建设一支适应转型发展和应用技术型人才培养需要的“双师型”教师队伍。 </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 xml:space="preserve">2.加大对“双师型”教师引进的力度。发挥他们对转型发展的引领带动作用；通过让青年教师去行业、企业挂职锻炼、顶岗工作和为企 业开展技术服务等形式，培养一批“双师型”教师。 </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 xml:space="preserve">3.进一步加大教学名师、高层次人才的引进力度，建立职称、学历、年龄结构科学合理的中年骨干队伍。同时，依托教学名师和教学骨干组建教学团队，通过培训、试讲、考核教学、竞赛等环节和方式，不断提升中青年教师的教学能力。 </w:t>
      </w:r>
    </w:p>
    <w:p>
      <w:pPr>
        <w:pStyle w:val="3"/>
        <w:spacing w:line="240" w:lineRule="auto"/>
        <w:ind w:left="0" w:firstLine="0" w:firstLineChars="0"/>
        <w:rPr>
          <w:rFonts w:ascii="黑体" w:hAnsi="黑体" w:cs="宋体"/>
          <w:b w:val="0"/>
          <w:bCs w:val="0"/>
          <w:snapToGrid/>
        </w:rPr>
      </w:pPr>
      <w:bookmarkStart w:id="432" w:name="_Toc30187"/>
      <w:bookmarkStart w:id="433" w:name="_Toc469900348"/>
      <w:r>
        <w:rPr>
          <w:rFonts w:hint="eastAsia" w:ascii="黑体" w:hAnsi="黑体" w:cs="宋体"/>
          <w:b w:val="0"/>
          <w:bCs w:val="0"/>
          <w:snapToGrid/>
        </w:rPr>
        <w:t>（二）优化学科布局和专业结构</w:t>
      </w:r>
      <w:bookmarkEnd w:id="432"/>
      <w:bookmarkEnd w:id="433"/>
      <w:r>
        <w:rPr>
          <w:rFonts w:hint="eastAsia" w:ascii="黑体" w:hAnsi="黑体" w:cs="宋体"/>
          <w:b w:val="0"/>
          <w:bCs w:val="0"/>
          <w:snapToGrid/>
        </w:rPr>
        <w:t xml:space="preserve"> </w:t>
      </w:r>
    </w:p>
    <w:p>
      <w:pPr>
        <w:spacing w:line="400" w:lineRule="exact"/>
        <w:ind w:firstLine="482" w:firstLineChars="200"/>
        <w:jc w:val="both"/>
        <w:rPr>
          <w:rFonts w:asciiTheme="minorEastAsia" w:hAnsiTheme="minorEastAsia" w:cstheme="minorEastAsia"/>
          <w:sz w:val="24"/>
          <w:szCs w:val="24"/>
        </w:rPr>
      </w:pPr>
      <w:r>
        <w:rPr>
          <w:rFonts w:hint="eastAsia" w:asciiTheme="minorEastAsia" w:hAnsiTheme="minorEastAsia" w:cstheme="minorEastAsia"/>
          <w:b/>
          <w:sz w:val="24"/>
          <w:szCs w:val="24"/>
        </w:rPr>
        <w:t>问题描述。</w:t>
      </w:r>
      <w:r>
        <w:rPr>
          <w:rFonts w:hint="eastAsia" w:asciiTheme="minorEastAsia" w:hAnsiTheme="minorEastAsia" w:cstheme="minorEastAsia"/>
          <w:sz w:val="24"/>
          <w:szCs w:val="24"/>
        </w:rPr>
        <w:t xml:space="preserve">本科办学5年来，学校的学科布局和专业结构逐步合理和完善。但是，各学科布局还不太均衡（如图8-1 江西服装学院学科专业布局所见），仍有优化空间。同时，随着经济增长方式的转型，产业结构调整升级以及企业人才需要和社会市场需求的变化，学校的学科布局和专业结构还需进一步优化。 </w:t>
      </w:r>
    </w:p>
    <w:p>
      <w:pPr>
        <w:spacing w:line="360" w:lineRule="auto"/>
        <w:jc w:val="center"/>
        <w:rPr>
          <w:rFonts w:asciiTheme="minorEastAsia" w:hAnsiTheme="minorEastAsia" w:cstheme="minorEastAsia"/>
          <w:sz w:val="24"/>
          <w:szCs w:val="24"/>
        </w:rPr>
      </w:pPr>
      <w:r>
        <w:rPr>
          <w:rFonts w:asciiTheme="minorEastAsia" w:hAnsiTheme="minorEastAsia" w:cstheme="minorEastAsia"/>
          <w:sz w:val="24"/>
          <w:szCs w:val="24"/>
        </w:rPr>
        <w:drawing>
          <wp:inline distT="0" distB="0" distL="0" distR="0">
            <wp:extent cx="3772535" cy="2309495"/>
            <wp:effectExtent l="0" t="0" r="1841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pPr>
        <w:jc w:val="center"/>
        <w:rPr>
          <w:rFonts w:asciiTheme="minorEastAsia" w:hAnsiTheme="minorEastAsia" w:cstheme="minorEastAsia"/>
          <w:sz w:val="24"/>
          <w:szCs w:val="24"/>
        </w:rPr>
      </w:pPr>
      <w:r>
        <w:rPr>
          <w:rFonts w:hint="eastAsia" w:ascii="宋体" w:hAnsi="宋体"/>
          <w:szCs w:val="21"/>
        </w:rPr>
        <w:t>图8-1 江西服装学院学科专业布局</w:t>
      </w:r>
    </w:p>
    <w:p>
      <w:pPr>
        <w:spacing w:line="400" w:lineRule="exact"/>
        <w:ind w:firstLine="482" w:firstLineChars="200"/>
        <w:jc w:val="both"/>
        <w:rPr>
          <w:rFonts w:asciiTheme="minorEastAsia" w:hAnsiTheme="minorEastAsia" w:cstheme="minorEastAsia"/>
          <w:sz w:val="24"/>
          <w:szCs w:val="24"/>
        </w:rPr>
      </w:pPr>
      <w:r>
        <w:rPr>
          <w:rFonts w:hint="eastAsia" w:asciiTheme="minorEastAsia" w:hAnsiTheme="minorEastAsia" w:cstheme="minorEastAsia"/>
          <w:b/>
          <w:sz w:val="24"/>
          <w:szCs w:val="24"/>
        </w:rPr>
        <w:t>解决思路。</w:t>
      </w:r>
      <w:r>
        <w:rPr>
          <w:rFonts w:hint="eastAsia" w:asciiTheme="minorEastAsia" w:hAnsiTheme="minorEastAsia" w:cstheme="minorEastAsia"/>
          <w:sz w:val="24"/>
          <w:szCs w:val="24"/>
        </w:rPr>
        <w:t>根据学校“十三五”学科专业发展规划，将适当增加管理学科专业数比例；积极申报与产业结构调整升级密切相关的新专业，计划新增6个专业；撤并传统专业和同质化专业1-2个；</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 xml:space="preserve">合理规划各专业发展定位，通过第三方专业评估，将遴选出学校重点专业、特色专业和培育专业；与产业对接，构建专业群，为地方经济服务。学校将重点建设3个专业群，分别是：纺织服装学科专业群、经贸管理学科专业群和艺术传媒学科专业群。 </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在当前经济新常态的背景下，正处在创新驱动发展、经济转型升级的新时期，经济发展与结构战略性调整对专业人才培养提出了更高的要求，学校专业建设与培养需加快调整、适应、主动匹配新形势下的产业发展需求。同时，学校需进一步深化以市场需求为导向的学科专业结构调整和建设，使学科专业发展更好地对接行业企业的实际需求，使更多的学生 学有所用，从而提升专业培养目标达成效果。</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 xml:space="preserve"> 2016年，学校积极申报“国际商务、财务管理、会计学”等专业，主动优化专业结构，提升应用技术型高校为地方经济发展的服务能力。</w:t>
      </w:r>
    </w:p>
    <w:p>
      <w:pPr>
        <w:pStyle w:val="3"/>
        <w:spacing w:line="240" w:lineRule="auto"/>
        <w:ind w:left="0" w:firstLine="0" w:firstLineChars="0"/>
        <w:rPr>
          <w:rFonts w:asciiTheme="minorEastAsia" w:hAnsiTheme="minorEastAsia" w:cstheme="minorEastAsia"/>
          <w:sz w:val="24"/>
          <w:szCs w:val="24"/>
        </w:rPr>
      </w:pPr>
      <w:bookmarkStart w:id="434" w:name="_Toc469900349"/>
      <w:bookmarkStart w:id="435" w:name="_Toc20459"/>
      <w:r>
        <w:rPr>
          <w:rFonts w:hint="eastAsia" w:ascii="黑体" w:hAnsi="黑体" w:cs="宋体"/>
          <w:b w:val="0"/>
          <w:bCs w:val="0"/>
          <w:snapToGrid/>
        </w:rPr>
        <w:t>（三）推进学风建设</w:t>
      </w:r>
      <w:bookmarkEnd w:id="434"/>
      <w:bookmarkEnd w:id="435"/>
      <w:r>
        <w:rPr>
          <w:rFonts w:hint="eastAsia" w:asciiTheme="minorEastAsia" w:hAnsiTheme="minorEastAsia" w:cstheme="minorEastAsia"/>
          <w:sz w:val="24"/>
          <w:szCs w:val="24"/>
        </w:rPr>
        <w:t xml:space="preserve"> </w:t>
      </w:r>
    </w:p>
    <w:p>
      <w:pPr>
        <w:spacing w:line="400" w:lineRule="exact"/>
        <w:ind w:firstLine="482" w:firstLineChars="200"/>
        <w:jc w:val="both"/>
        <w:rPr>
          <w:rFonts w:asciiTheme="minorEastAsia" w:hAnsiTheme="minorEastAsia" w:cstheme="minorEastAsia"/>
          <w:sz w:val="24"/>
          <w:szCs w:val="24"/>
        </w:rPr>
      </w:pPr>
      <w:r>
        <w:rPr>
          <w:rFonts w:hint="eastAsia" w:asciiTheme="minorEastAsia" w:hAnsiTheme="minorEastAsia" w:cstheme="minorEastAsia"/>
          <w:b/>
          <w:sz w:val="24"/>
          <w:szCs w:val="24"/>
        </w:rPr>
        <w:t>问题描述。</w:t>
      </w:r>
      <w:r>
        <w:rPr>
          <w:rFonts w:hint="eastAsia" w:asciiTheme="minorEastAsia" w:hAnsiTheme="minorEastAsia" w:cstheme="minorEastAsia"/>
          <w:sz w:val="24"/>
          <w:szCs w:val="24"/>
        </w:rPr>
        <w:t xml:space="preserve">学风是一所大学的灵魂和气质，是学校办学思想、教学质量和管理水平的重要标志，也是学生思想道德水平、学习精神和综合素质的重要体现。学风建设是高校教育改革发展中的一项系统工程。我校学风总体上是健康的、积极向上的，但是还有些地方不尽如人意。部分学生存在人生规划不明确、学习目标模糊、学习动力不足、学习方法不得力、学习态度不积极等问题，还有部分同学自制力不佳，自我约束能力差，作息时间混乱，成绩下滑，人际关系紧张。 </w:t>
      </w:r>
    </w:p>
    <w:p>
      <w:pPr>
        <w:spacing w:line="400" w:lineRule="exact"/>
        <w:ind w:firstLine="482" w:firstLineChars="200"/>
        <w:jc w:val="both"/>
        <w:rPr>
          <w:rFonts w:asciiTheme="minorEastAsia" w:hAnsiTheme="minorEastAsia" w:cstheme="minorEastAsia"/>
          <w:sz w:val="24"/>
          <w:szCs w:val="24"/>
        </w:rPr>
      </w:pPr>
      <w:r>
        <w:rPr>
          <w:rFonts w:hint="eastAsia" w:asciiTheme="minorEastAsia" w:hAnsiTheme="minorEastAsia" w:cstheme="minorEastAsia"/>
          <w:b/>
          <w:sz w:val="24"/>
          <w:szCs w:val="24"/>
        </w:rPr>
        <w:t>解决思路。</w:t>
      </w:r>
      <w:r>
        <w:rPr>
          <w:rFonts w:hint="eastAsia" w:asciiTheme="minorEastAsia" w:hAnsiTheme="minorEastAsia" w:cstheme="minorEastAsia"/>
          <w:sz w:val="24"/>
          <w:szCs w:val="24"/>
        </w:rPr>
        <w:t>积极探索学风建设的形式、內容和机制，制定相应的 激励机制，建立师生良性互动的机制。具体思路是：</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(1)积极动员、统一思想。学校充分发挥各种宣传阵地的作用。</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(2)以教风带动学风。教师积极发挥课堂教学的作用，通过良好的教风，带动学风建设。教师的敬业精神、严谨的治学态度和求是作风，都将对学生起到示范作用。</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(3)以教学管理育学风。学校加强对学生的日常管理，坚持分类指导和全程辅导的管理制度，尝试实施学长制或导生制，充分调动优 秀学生的积极性。</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(4)以管理服务育学风。强化服务育人机制，加强对学生的教育引导，建立“人格上尊重学生，情感上关心学生，工作上信任学生”的新型师生关系，为学生的成长营造良好的氛围。</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(5)重视学习精神层面的文化建设。进行文化强校发展动员，达成对校园文化建设与文化战略重要性的共识。设立文化学学科，创建孔子学院，发挥学生文化社团的引导作用。以文化建设提高学生的素质和合作精神，推动学校改革创新工作，给学校发展输入新的动力。</w:t>
      </w:r>
    </w:p>
    <w:p>
      <w:pPr>
        <w:spacing w:line="400" w:lineRule="exact"/>
        <w:ind w:firstLine="480" w:firstLineChars="200"/>
        <w:jc w:val="both"/>
        <w:rPr>
          <w:rFonts w:asciiTheme="minorEastAsia" w:hAnsiTheme="minorEastAsia" w:cstheme="minorEastAsia"/>
          <w:sz w:val="24"/>
          <w:szCs w:val="24"/>
        </w:rPr>
      </w:pPr>
    </w:p>
    <w:p>
      <w:pPr>
        <w:spacing w:line="400" w:lineRule="exact"/>
        <w:ind w:firstLine="480" w:firstLineChars="200"/>
        <w:jc w:val="both"/>
        <w:rPr>
          <w:rFonts w:asciiTheme="minorEastAsia" w:hAnsiTheme="minorEastAsia" w:cstheme="minorEastAsia"/>
          <w:sz w:val="24"/>
          <w:szCs w:val="24"/>
        </w:rPr>
      </w:pP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 xml:space="preserve">                                             江西服装学院</w:t>
      </w:r>
    </w:p>
    <w:p>
      <w:pPr>
        <w:spacing w:line="400" w:lineRule="exact"/>
        <w:ind w:firstLine="480" w:firstLineChars="200"/>
        <w:jc w:val="both"/>
        <w:rPr>
          <w:rFonts w:asciiTheme="minorEastAsia" w:hAnsiTheme="minorEastAsia" w:cstheme="minorEastAsia"/>
          <w:sz w:val="24"/>
          <w:szCs w:val="24"/>
        </w:rPr>
      </w:pPr>
      <w:r>
        <w:rPr>
          <w:rFonts w:hint="eastAsia" w:asciiTheme="minorEastAsia" w:hAnsiTheme="minorEastAsia" w:cstheme="minorEastAsia"/>
          <w:sz w:val="24"/>
          <w:szCs w:val="24"/>
        </w:rPr>
        <w:t xml:space="preserve">                                         二〇一六年十二月十六日</w:t>
      </w: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Segoe UI">
    <w:panose1 w:val="020B0502040204020203"/>
    <w:charset w:val="00"/>
    <w:family w:val="swiss"/>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vZE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Ik72REwIAABU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686"/>
    <w:rsid w:val="0000797F"/>
    <w:rsid w:val="00013CFF"/>
    <w:rsid w:val="00020955"/>
    <w:rsid w:val="0004443D"/>
    <w:rsid w:val="00047D28"/>
    <w:rsid w:val="000668DA"/>
    <w:rsid w:val="00070C4C"/>
    <w:rsid w:val="00085E44"/>
    <w:rsid w:val="00097FE0"/>
    <w:rsid w:val="000A170B"/>
    <w:rsid w:val="000A499C"/>
    <w:rsid w:val="000C4859"/>
    <w:rsid w:val="000C4EC1"/>
    <w:rsid w:val="00121CF8"/>
    <w:rsid w:val="0012470D"/>
    <w:rsid w:val="001348C0"/>
    <w:rsid w:val="001402BF"/>
    <w:rsid w:val="00196912"/>
    <w:rsid w:val="001B6742"/>
    <w:rsid w:val="001E0649"/>
    <w:rsid w:val="00217F52"/>
    <w:rsid w:val="00224787"/>
    <w:rsid w:val="00230B8A"/>
    <w:rsid w:val="0024507C"/>
    <w:rsid w:val="00246985"/>
    <w:rsid w:val="00250463"/>
    <w:rsid w:val="002518A8"/>
    <w:rsid w:val="00257DC8"/>
    <w:rsid w:val="00262AEE"/>
    <w:rsid w:val="002739B1"/>
    <w:rsid w:val="002A456B"/>
    <w:rsid w:val="002C23A1"/>
    <w:rsid w:val="002E5A11"/>
    <w:rsid w:val="00317539"/>
    <w:rsid w:val="003232A1"/>
    <w:rsid w:val="003326C3"/>
    <w:rsid w:val="00342F43"/>
    <w:rsid w:val="00355D9A"/>
    <w:rsid w:val="00361032"/>
    <w:rsid w:val="00364686"/>
    <w:rsid w:val="003742B4"/>
    <w:rsid w:val="0039202A"/>
    <w:rsid w:val="00397F73"/>
    <w:rsid w:val="003F51D2"/>
    <w:rsid w:val="00412066"/>
    <w:rsid w:val="0044728D"/>
    <w:rsid w:val="00460AD7"/>
    <w:rsid w:val="00487E1C"/>
    <w:rsid w:val="00494A02"/>
    <w:rsid w:val="004C00EE"/>
    <w:rsid w:val="004F4957"/>
    <w:rsid w:val="00501606"/>
    <w:rsid w:val="005163F8"/>
    <w:rsid w:val="00571FAE"/>
    <w:rsid w:val="0057494D"/>
    <w:rsid w:val="00580508"/>
    <w:rsid w:val="005A3779"/>
    <w:rsid w:val="005D23F2"/>
    <w:rsid w:val="005E47DC"/>
    <w:rsid w:val="005F7916"/>
    <w:rsid w:val="00616B12"/>
    <w:rsid w:val="00626720"/>
    <w:rsid w:val="00667442"/>
    <w:rsid w:val="006A418C"/>
    <w:rsid w:val="006A7A52"/>
    <w:rsid w:val="006B5CF3"/>
    <w:rsid w:val="006C703C"/>
    <w:rsid w:val="006D16B1"/>
    <w:rsid w:val="006E4B91"/>
    <w:rsid w:val="006F1AAB"/>
    <w:rsid w:val="00716A7E"/>
    <w:rsid w:val="00725809"/>
    <w:rsid w:val="00785BF2"/>
    <w:rsid w:val="00791290"/>
    <w:rsid w:val="00793790"/>
    <w:rsid w:val="007D5D6A"/>
    <w:rsid w:val="00821BE6"/>
    <w:rsid w:val="00840D36"/>
    <w:rsid w:val="00846183"/>
    <w:rsid w:val="00867CA0"/>
    <w:rsid w:val="008700A3"/>
    <w:rsid w:val="008921E3"/>
    <w:rsid w:val="008A4D99"/>
    <w:rsid w:val="008B6F27"/>
    <w:rsid w:val="008C5AA6"/>
    <w:rsid w:val="008E4E6E"/>
    <w:rsid w:val="00901CB7"/>
    <w:rsid w:val="0092431D"/>
    <w:rsid w:val="009453C0"/>
    <w:rsid w:val="00954B32"/>
    <w:rsid w:val="0098684F"/>
    <w:rsid w:val="00996078"/>
    <w:rsid w:val="009A06FA"/>
    <w:rsid w:val="009B4F93"/>
    <w:rsid w:val="009D08EB"/>
    <w:rsid w:val="009D6F66"/>
    <w:rsid w:val="00A60130"/>
    <w:rsid w:val="00A83B8B"/>
    <w:rsid w:val="00A870B9"/>
    <w:rsid w:val="00A92ADC"/>
    <w:rsid w:val="00A93354"/>
    <w:rsid w:val="00A94BF5"/>
    <w:rsid w:val="00A95D78"/>
    <w:rsid w:val="00AD32CF"/>
    <w:rsid w:val="00AD345C"/>
    <w:rsid w:val="00AF528F"/>
    <w:rsid w:val="00B0734B"/>
    <w:rsid w:val="00B2443B"/>
    <w:rsid w:val="00B5344A"/>
    <w:rsid w:val="00B66FDC"/>
    <w:rsid w:val="00B838CF"/>
    <w:rsid w:val="00B92C68"/>
    <w:rsid w:val="00BD5F1A"/>
    <w:rsid w:val="00C10B6E"/>
    <w:rsid w:val="00C16A07"/>
    <w:rsid w:val="00C32D45"/>
    <w:rsid w:val="00C368FA"/>
    <w:rsid w:val="00C4072C"/>
    <w:rsid w:val="00C8314B"/>
    <w:rsid w:val="00C84316"/>
    <w:rsid w:val="00CB65AD"/>
    <w:rsid w:val="00CC4330"/>
    <w:rsid w:val="00D07023"/>
    <w:rsid w:val="00D26DEC"/>
    <w:rsid w:val="00D275C5"/>
    <w:rsid w:val="00D27D4F"/>
    <w:rsid w:val="00D4668E"/>
    <w:rsid w:val="00D57A1E"/>
    <w:rsid w:val="00D73585"/>
    <w:rsid w:val="00DA1D58"/>
    <w:rsid w:val="00DE35D9"/>
    <w:rsid w:val="00DF0D22"/>
    <w:rsid w:val="00DF14E1"/>
    <w:rsid w:val="00E17C99"/>
    <w:rsid w:val="00E25FF4"/>
    <w:rsid w:val="00E517C9"/>
    <w:rsid w:val="00E54C4A"/>
    <w:rsid w:val="00E66A78"/>
    <w:rsid w:val="00E8132C"/>
    <w:rsid w:val="00E8155B"/>
    <w:rsid w:val="00EC7AAA"/>
    <w:rsid w:val="00EF5568"/>
    <w:rsid w:val="00F13F90"/>
    <w:rsid w:val="00F3501E"/>
    <w:rsid w:val="00F5654F"/>
    <w:rsid w:val="00F576E2"/>
    <w:rsid w:val="00F63545"/>
    <w:rsid w:val="00F817A4"/>
    <w:rsid w:val="00F92C9F"/>
    <w:rsid w:val="00FB709B"/>
    <w:rsid w:val="01FC6BAD"/>
    <w:rsid w:val="03494B30"/>
    <w:rsid w:val="16556E1D"/>
    <w:rsid w:val="291113DA"/>
    <w:rsid w:val="296B1CA9"/>
    <w:rsid w:val="37124FBE"/>
    <w:rsid w:val="4CA619F5"/>
    <w:rsid w:val="4F254C52"/>
    <w:rsid w:val="4F265AFF"/>
    <w:rsid w:val="549C58D2"/>
    <w:rsid w:val="607D3047"/>
    <w:rsid w:val="630702CB"/>
    <w:rsid w:val="6D2E33F2"/>
    <w:rsid w:val="7EBD066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1"/>
      <w:szCs w:val="22"/>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4"/>
    <w:next w:val="1"/>
    <w:link w:val="19"/>
    <w:unhideWhenUsed/>
    <w:qFormat/>
    <w:uiPriority w:val="0"/>
    <w:pPr>
      <w:keepNext/>
      <w:keepLines/>
      <w:spacing w:line="360" w:lineRule="auto"/>
      <w:ind w:firstLine="562" w:firstLineChars="200"/>
      <w:outlineLvl w:val="1"/>
    </w:pPr>
    <w:rPr>
      <w:rFonts w:ascii="Arial" w:hAnsi="Arial" w:eastAsia="黑体"/>
      <w:b/>
      <w:bCs/>
      <w:snapToGrid w:val="0"/>
      <w:sz w:val="28"/>
      <w:szCs w:val="28"/>
    </w:rPr>
  </w:style>
  <w:style w:type="paragraph" w:styleId="5">
    <w:name w:val="heading 3"/>
    <w:basedOn w:val="1"/>
    <w:next w:val="1"/>
    <w:link w:val="20"/>
    <w:unhideWhenUsed/>
    <w:qFormat/>
    <w:uiPriority w:val="0"/>
    <w:pPr>
      <w:keepNext/>
      <w:keepLines/>
      <w:spacing w:before="260" w:after="260" w:line="416" w:lineRule="auto"/>
      <w:outlineLvl w:val="2"/>
    </w:pPr>
    <w:rPr>
      <w:b/>
      <w:bCs/>
      <w:sz w:val="32"/>
      <w:szCs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toc 2"/>
    <w:basedOn w:val="1"/>
    <w:next w:val="1"/>
    <w:qFormat/>
    <w:uiPriority w:val="39"/>
    <w:pPr>
      <w:ind w:left="210"/>
    </w:pPr>
    <w:rPr>
      <w:smallCaps/>
      <w:sz w:val="20"/>
      <w:szCs w:val="20"/>
    </w:rPr>
  </w:style>
  <w:style w:type="paragraph" w:styleId="6">
    <w:name w:val="toc 3"/>
    <w:basedOn w:val="1"/>
    <w:next w:val="1"/>
    <w:qFormat/>
    <w:uiPriority w:val="39"/>
    <w:pPr>
      <w:tabs>
        <w:tab w:val="right" w:leader="dot" w:pos="8296"/>
      </w:tabs>
      <w:spacing w:beforeLines="50"/>
      <w:ind w:left="840" w:leftChars="400"/>
    </w:pPr>
  </w:style>
  <w:style w:type="paragraph" w:styleId="7">
    <w:name w:val="Balloon Text"/>
    <w:basedOn w:val="1"/>
    <w:link w:val="21"/>
    <w:qFormat/>
    <w:uiPriority w:val="0"/>
    <w:rPr>
      <w:sz w:val="18"/>
      <w:szCs w:val="18"/>
    </w:rPr>
  </w:style>
  <w:style w:type="paragraph" w:styleId="8">
    <w:name w:val="footer"/>
    <w:basedOn w:val="1"/>
    <w:link w:val="17"/>
    <w:unhideWhenUsed/>
    <w:qFormat/>
    <w:uiPriority w:val="99"/>
    <w:pPr>
      <w:tabs>
        <w:tab w:val="center" w:pos="4153"/>
        <w:tab w:val="right" w:pos="8306"/>
      </w:tabs>
      <w:snapToGrid w:val="0"/>
    </w:pPr>
    <w:rPr>
      <w:sz w:val="18"/>
      <w:szCs w:val="18"/>
    </w:rPr>
  </w:style>
  <w:style w:type="paragraph" w:styleId="9">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character" w:styleId="12">
    <w:name w:val="Strong"/>
    <w:basedOn w:val="11"/>
    <w:qFormat/>
    <w:uiPriority w:val="22"/>
    <w:rPr>
      <w:b/>
    </w:rPr>
  </w:style>
  <w:style w:type="character" w:styleId="13">
    <w:name w:val="Hyperlink"/>
    <w:basedOn w:val="11"/>
    <w:unhideWhenUsed/>
    <w:qFormat/>
    <w:uiPriority w:val="99"/>
    <w:rPr>
      <w:color w:val="0000FF" w:themeColor="hyperlink"/>
      <w:u w:val="single"/>
      <w14:textFill>
        <w14:solidFill>
          <w14:schemeClr w14:val="hlink"/>
        </w14:solidFill>
      </w14:textFill>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页眉 Char"/>
    <w:basedOn w:val="11"/>
    <w:link w:val="9"/>
    <w:qFormat/>
    <w:uiPriority w:val="0"/>
    <w:rPr>
      <w:sz w:val="18"/>
      <w:szCs w:val="18"/>
    </w:rPr>
  </w:style>
  <w:style w:type="character" w:customStyle="1" w:styleId="17">
    <w:name w:val="页脚 Char"/>
    <w:basedOn w:val="11"/>
    <w:link w:val="8"/>
    <w:qFormat/>
    <w:uiPriority w:val="99"/>
    <w:rPr>
      <w:sz w:val="18"/>
      <w:szCs w:val="18"/>
    </w:rPr>
  </w:style>
  <w:style w:type="character" w:customStyle="1" w:styleId="18">
    <w:name w:val="标题 1 Char"/>
    <w:basedOn w:val="11"/>
    <w:link w:val="2"/>
    <w:qFormat/>
    <w:uiPriority w:val="0"/>
    <w:rPr>
      <w:b/>
      <w:bCs/>
      <w:kern w:val="44"/>
      <w:sz w:val="44"/>
      <w:szCs w:val="44"/>
    </w:rPr>
  </w:style>
  <w:style w:type="character" w:customStyle="1" w:styleId="19">
    <w:name w:val="标题 2 Char"/>
    <w:basedOn w:val="11"/>
    <w:link w:val="3"/>
    <w:qFormat/>
    <w:uiPriority w:val="0"/>
    <w:rPr>
      <w:rFonts w:ascii="Arial" w:hAnsi="Arial" w:eastAsia="黑体"/>
      <w:b/>
      <w:bCs/>
      <w:smallCaps/>
      <w:snapToGrid w:val="0"/>
      <w:kern w:val="0"/>
      <w:sz w:val="28"/>
      <w:szCs w:val="28"/>
    </w:rPr>
  </w:style>
  <w:style w:type="character" w:customStyle="1" w:styleId="20">
    <w:name w:val="标题 3 Char"/>
    <w:basedOn w:val="11"/>
    <w:link w:val="5"/>
    <w:qFormat/>
    <w:uiPriority w:val="0"/>
    <w:rPr>
      <w:b/>
      <w:bCs/>
      <w:kern w:val="0"/>
      <w:sz w:val="32"/>
      <w:szCs w:val="32"/>
    </w:rPr>
  </w:style>
  <w:style w:type="character" w:customStyle="1" w:styleId="21">
    <w:name w:val="批注框文本 Char"/>
    <w:basedOn w:val="11"/>
    <w:link w:val="7"/>
    <w:qFormat/>
    <w:uiPriority w:val="0"/>
    <w:rPr>
      <w:kern w:val="0"/>
      <w:sz w:val="18"/>
      <w:szCs w:val="18"/>
    </w:rPr>
  </w:style>
  <w:style w:type="paragraph" w:customStyle="1" w:styleId="22">
    <w:name w:val="TOC 标题1"/>
    <w:basedOn w:val="2"/>
    <w:next w:val="1"/>
    <w:unhideWhenUsed/>
    <w:qFormat/>
    <w:uiPriority w:val="39"/>
    <w:pPr>
      <w:spacing w:before="480" w:after="0" w:line="276" w:lineRule="auto"/>
      <w:outlineLvl w:val="9"/>
    </w:pPr>
    <w:rPr>
      <w:rFonts w:asciiTheme="majorHAnsi" w:hAnsiTheme="majorHAnsi" w:eastAsiaTheme="majorEastAsia" w:cstheme="majorBidi"/>
      <w:color w:val="376092" w:themeColor="accent1" w:themeShade="BF"/>
      <w:kern w:val="0"/>
      <w:sz w:val="28"/>
      <w:szCs w:val="28"/>
    </w:rPr>
  </w:style>
  <w:style w:type="paragraph" w:customStyle="1" w:styleId="23">
    <w:name w:val="列出段落1"/>
    <w:basedOn w:val="1"/>
    <w:unhideWhenUsed/>
    <w:qFormat/>
    <w:uiPriority w:val="99"/>
    <w:pPr>
      <w:ind w:firstLine="420" w:firstLineChars="200"/>
    </w:pPr>
  </w:style>
  <w:style w:type="paragraph" w:customStyle="1" w:styleId="24">
    <w:name w:val="TOC 标题2"/>
    <w:basedOn w:val="2"/>
    <w:next w:val="1"/>
    <w:unhideWhenUsed/>
    <w:qFormat/>
    <w:uiPriority w:val="39"/>
    <w:pPr>
      <w:spacing w:before="480" w:after="0" w:line="276" w:lineRule="auto"/>
      <w:outlineLvl w:val="9"/>
    </w:pPr>
    <w:rPr>
      <w:rFonts w:asciiTheme="majorHAnsi" w:hAnsiTheme="majorHAnsi" w:eastAsiaTheme="majorEastAsia" w:cstheme="majorBidi"/>
      <w:color w:val="376092" w:themeColor="accent1" w:themeShade="BF"/>
      <w:kern w:val="0"/>
      <w:sz w:val="28"/>
      <w:szCs w:val="28"/>
    </w:rPr>
  </w:style>
  <w:style w:type="paragraph" w:customStyle="1" w:styleId="25">
    <w:name w:val="TOC 标题3"/>
    <w:basedOn w:val="2"/>
    <w:next w:val="1"/>
    <w:unhideWhenUsed/>
    <w:qFormat/>
    <w:uiPriority w:val="39"/>
    <w:pPr>
      <w:spacing w:before="480" w:after="0" w:line="276" w:lineRule="auto"/>
      <w:outlineLvl w:val="9"/>
    </w:pPr>
    <w:rPr>
      <w:rFonts w:asciiTheme="majorHAnsi" w:hAnsiTheme="majorHAnsi" w:eastAsiaTheme="majorEastAsia" w:cstheme="majorBidi"/>
      <w:color w:val="376092" w:themeColor="accent1" w:themeShade="BF"/>
      <w:kern w:val="0"/>
      <w:sz w:val="28"/>
      <w:szCs w:val="28"/>
    </w:rPr>
  </w:style>
  <w:style w:type="paragraph" w:customStyle="1" w:styleId="26">
    <w:name w:val="列出段落2"/>
    <w:basedOn w:val="1"/>
    <w:unhideWhenUsed/>
    <w:qFormat/>
    <w:uiPriority w:val="99"/>
    <w:pPr>
      <w:ind w:firstLine="420" w:firstLineChars="200"/>
    </w:pPr>
  </w:style>
  <w:style w:type="paragraph" w:customStyle="1" w:styleId="27">
    <w:name w:val="TOC Heading"/>
    <w:basedOn w:val="2"/>
    <w:next w:val="1"/>
    <w:unhideWhenUsed/>
    <w:qFormat/>
    <w:uiPriority w:val="39"/>
    <w:pPr>
      <w:spacing w:before="480" w:after="0" w:line="276" w:lineRule="auto"/>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chart" Target="charts/chart8.xml"/><Relationship Id="rId27" Type="http://schemas.microsoft.com/office/2007/relationships/hdphoto" Target="media/hdphoto3.wdp"/><Relationship Id="rId26" Type="http://schemas.openxmlformats.org/officeDocument/2006/relationships/image" Target="media/image10.jpeg"/><Relationship Id="rId25" Type="http://schemas.microsoft.com/office/2007/relationships/hdphoto" Target="media/hdphoto2.wdp"/><Relationship Id="rId24" Type="http://schemas.openxmlformats.org/officeDocument/2006/relationships/image" Target="media/image9.jpeg"/><Relationship Id="rId23" Type="http://schemas.microsoft.com/office/2007/relationships/hdphoto" Target="media/hdphoto1.wdp"/><Relationship Id="rId22" Type="http://schemas.openxmlformats.org/officeDocument/2006/relationships/image" Target="media/image8.jpeg"/><Relationship Id="rId21" Type="http://schemas.openxmlformats.org/officeDocument/2006/relationships/image" Target="media/image7.jpeg"/><Relationship Id="rId20" Type="http://schemas.openxmlformats.org/officeDocument/2006/relationships/image" Target="media/image6.jpeg"/><Relationship Id="rId2" Type="http://schemas.openxmlformats.org/officeDocument/2006/relationships/settings" Target="settings.xml"/><Relationship Id="rId19" Type="http://schemas.openxmlformats.org/officeDocument/2006/relationships/image" Target="media/image5.jpeg"/><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8.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开设本科专业数</c:v>
                </c:pt>
              </c:strCache>
            </c:strRef>
          </c:tx>
          <c:dLbls>
            <c:delete val="1"/>
          </c:dLbls>
          <c:cat>
            <c:strRef>
              <c:f>Sheet1!$A$2:$A$7</c:f>
              <c:strCache>
                <c:ptCount val="6"/>
                <c:pt idx="0">
                  <c:v>2011年</c:v>
                </c:pt>
                <c:pt idx="1">
                  <c:v>2012年</c:v>
                </c:pt>
                <c:pt idx="2">
                  <c:v>2013年</c:v>
                </c:pt>
                <c:pt idx="3">
                  <c:v>2014年</c:v>
                </c:pt>
                <c:pt idx="4">
                  <c:v>2015年</c:v>
                </c:pt>
                <c:pt idx="5">
                  <c:v>2016年</c:v>
                </c:pt>
              </c:strCache>
            </c:strRef>
          </c:cat>
          <c:val>
            <c:numRef>
              <c:f>Sheet1!$B$2:$B$7</c:f>
              <c:numCache>
                <c:formatCode>General</c:formatCode>
                <c:ptCount val="6"/>
                <c:pt idx="0">
                  <c:v>5</c:v>
                </c:pt>
                <c:pt idx="1">
                  <c:v>11</c:v>
                </c:pt>
                <c:pt idx="2">
                  <c:v>14</c:v>
                </c:pt>
                <c:pt idx="3">
                  <c:v>16</c:v>
                </c:pt>
                <c:pt idx="4">
                  <c:v>16</c:v>
                </c:pt>
                <c:pt idx="5">
                  <c:v>19</c:v>
                </c:pt>
              </c:numCache>
            </c:numRef>
          </c:val>
          <c:smooth val="0"/>
        </c:ser>
        <c:dLbls>
          <c:showLegendKey val="0"/>
          <c:showVal val="0"/>
          <c:showCatName val="0"/>
          <c:showSerName val="0"/>
          <c:showPercent val="0"/>
          <c:showBubbleSize val="0"/>
        </c:dLbls>
        <c:marker val="1"/>
        <c:smooth val="0"/>
        <c:axId val="334455936"/>
        <c:axId val="359895040"/>
      </c:lineChart>
      <c:catAx>
        <c:axId val="33445593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59895040"/>
        <c:crosses val="autoZero"/>
        <c:auto val="1"/>
        <c:lblAlgn val="ctr"/>
        <c:lblOffset val="100"/>
        <c:noMultiLvlLbl val="0"/>
      </c:catAx>
      <c:valAx>
        <c:axId val="359895040"/>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34455936"/>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全日制在校学生人数</c:v>
                </c:pt>
              </c:strCache>
            </c:strRef>
          </c:tx>
          <c:spPr/>
          <c:explosion val="0"/>
          <c:dPt>
            <c:idx val="0"/>
            <c:bubble3D val="0"/>
            <c:spPr>
              <a:solidFill>
                <a:schemeClr val="accent1"/>
              </a:solidFill>
              <a:ln>
                <a:noFill/>
              </a:ln>
              <a:effectLst>
                <a:outerShdw blurRad="63500" sx="102000" sy="102000" algn="ctr" rotWithShape="0">
                  <a:prstClr val="black">
                    <a:alpha val="20000"/>
                  </a:prstClr>
                </a:outerShdw>
              </a:effectLst>
            </c:spPr>
          </c:dPt>
          <c:dPt>
            <c:idx val="1"/>
            <c:bubble3D val="0"/>
            <c:spPr>
              <a:solidFill>
                <a:schemeClr val="accent2"/>
              </a:solidFill>
              <a:ln>
                <a:noFill/>
              </a:ln>
              <a:effectLst>
                <a:outerShdw blurRad="63500" sx="102000" sy="102000" algn="ctr" rotWithShape="0">
                  <a:prstClr val="black">
                    <a:alpha val="20000"/>
                  </a:prstClr>
                </a:outerShdw>
              </a:effectLst>
            </c:spPr>
          </c:dPt>
          <c:dPt>
            <c:idx val="2"/>
            <c:bubble3D val="0"/>
            <c:spPr>
              <a:solidFill>
                <a:schemeClr val="accent3"/>
              </a:solidFill>
              <a:ln>
                <a:noFill/>
              </a:ln>
              <a:effectLst>
                <a:outerShdw blurRad="63500" sx="102000" sy="102000" algn="ctr" rotWithShape="0">
                  <a:prstClr val="black">
                    <a:alpha val="20000"/>
                  </a:prst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2"/>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2"/>
              <c:layout>
                <c:manualLayout>
                  <c:x val="-0.110011545439551"/>
                  <c:y val="0.105928974823108"/>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3"/>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普通本科生</c:v>
                </c:pt>
                <c:pt idx="1">
                  <c:v>专科生</c:v>
                </c:pt>
                <c:pt idx="2">
                  <c:v>预科生</c:v>
                </c:pt>
              </c:strCache>
            </c:strRef>
          </c:cat>
          <c:val>
            <c:numRef>
              <c:f>Sheet1!$B$2:$B$4</c:f>
              <c:numCache>
                <c:formatCode>General</c:formatCode>
                <c:ptCount val="3"/>
                <c:pt idx="0">
                  <c:v>4858</c:v>
                </c:pt>
                <c:pt idx="1">
                  <c:v>6619</c:v>
                </c:pt>
                <c:pt idx="2">
                  <c:v>136</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本科生分学科人数统计</c:v>
                </c:pt>
              </c:strCache>
            </c:strRef>
          </c:tx>
          <c:spPr/>
          <c:explosion val="0"/>
          <c:dPt>
            <c:idx val="0"/>
            <c:bubble3D val="0"/>
            <c:spPr>
              <a:solidFill>
                <a:schemeClr val="accent1"/>
              </a:solidFill>
              <a:ln>
                <a:noFill/>
              </a:ln>
              <a:effectLst>
                <a:outerShdw blurRad="63500" sx="102000" sy="102000" algn="ctr" rotWithShape="0">
                  <a:prstClr val="black">
                    <a:alpha val="20000"/>
                  </a:prstClr>
                </a:outerShdw>
              </a:effectLst>
            </c:spPr>
          </c:dPt>
          <c:dPt>
            <c:idx val="1"/>
            <c:bubble3D val="0"/>
            <c:spPr>
              <a:solidFill>
                <a:schemeClr val="accent2"/>
              </a:solidFill>
              <a:ln>
                <a:noFill/>
              </a:ln>
              <a:effectLst>
                <a:outerShdw blurRad="63500" sx="102000" sy="102000" algn="ctr" rotWithShape="0">
                  <a:prstClr val="black">
                    <a:alpha val="20000"/>
                  </a:prstClr>
                </a:outerShdw>
              </a:effectLst>
            </c:spPr>
          </c:dPt>
          <c:dPt>
            <c:idx val="2"/>
            <c:bubble3D val="0"/>
            <c:spPr>
              <a:solidFill>
                <a:schemeClr val="accent3"/>
              </a:solidFill>
              <a:ln>
                <a:noFill/>
              </a:ln>
              <a:effectLst>
                <a:outerShdw blurRad="63500" sx="102000" sy="102000" algn="ctr" rotWithShape="0">
                  <a:prstClr val="black">
                    <a:alpha val="20000"/>
                  </a:prstClr>
                </a:outerShdw>
              </a:effectLst>
            </c:spPr>
          </c:dPt>
          <c:dPt>
            <c:idx val="3"/>
            <c:bubble3D val="0"/>
            <c:spPr>
              <a:solidFill>
                <a:schemeClr val="accent4"/>
              </a:solidFill>
              <a:ln>
                <a:noFill/>
              </a:ln>
              <a:effectLst>
                <a:outerShdw blurRad="63500" sx="102000" sy="102000" algn="ctr" rotWithShape="0">
                  <a:prstClr val="black">
                    <a:alpha val="20000"/>
                  </a:prstClr>
                </a:outerShdw>
              </a:effectLst>
            </c:spPr>
          </c:dPt>
          <c:dPt>
            <c:idx val="4"/>
            <c:bubble3D val="0"/>
            <c:spPr>
              <a:solidFill>
                <a:schemeClr val="accent5"/>
              </a:solidFill>
              <a:ln>
                <a:noFill/>
              </a:ln>
              <a:effectLst>
                <a:outerShdw blurRad="63500" sx="102000" sy="102000" algn="ctr" rotWithShape="0">
                  <a:prstClr val="black">
                    <a:alpha val="20000"/>
                  </a:prst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2"/>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2"/>
              <c:layout>
                <c:manualLayout>
                  <c:x val="-0.117143797301744"/>
                  <c:y val="-0.010652920962199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3"/>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4"/>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4"/>
              <c:layout>
                <c:manualLayout>
                  <c:x val="0.134748272458045"/>
                  <c:y val="0.0999771749064536"/>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5"/>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manualLayout>
                      <c:w val="0.214544257979599"/>
                      <c:h val="0.185567010309278"/>
                    </c:manualLayout>
                  </c15:layout>
                </c:ext>
              </c:extLst>
            </c:dLbl>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艺术学</c:v>
                </c:pt>
                <c:pt idx="1">
                  <c:v>工学</c:v>
                </c:pt>
                <c:pt idx="2">
                  <c:v>管理学</c:v>
                </c:pt>
                <c:pt idx="3">
                  <c:v>经济学</c:v>
                </c:pt>
                <c:pt idx="4">
                  <c:v>文学</c:v>
                </c:pt>
              </c:strCache>
            </c:strRef>
          </c:cat>
          <c:val>
            <c:numRef>
              <c:f>Sheet1!$B$2:$B$6</c:f>
              <c:numCache>
                <c:formatCode>General</c:formatCode>
                <c:ptCount val="5"/>
                <c:pt idx="0">
                  <c:v>2880</c:v>
                </c:pt>
                <c:pt idx="1">
                  <c:v>1314</c:v>
                </c:pt>
                <c:pt idx="2">
                  <c:v>257</c:v>
                </c:pt>
                <c:pt idx="3">
                  <c:v>238</c:v>
                </c:pt>
                <c:pt idx="4">
                  <c:v>169</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专任教师职称结构</c:v>
                </c:pt>
              </c:strCache>
            </c:strRef>
          </c:tx>
          <c:spPr/>
          <c:explosion val="0"/>
          <c:dPt>
            <c:idx val="0"/>
            <c:bubble3D val="0"/>
            <c:spPr>
              <a:solidFill>
                <a:schemeClr val="accent1"/>
              </a:solidFill>
              <a:ln>
                <a:noFill/>
              </a:ln>
              <a:effectLst>
                <a:outerShdw blurRad="63500" sx="102000" sy="102000" algn="ctr" rotWithShape="0">
                  <a:prstClr val="black">
                    <a:alpha val="20000"/>
                  </a:prstClr>
                </a:outerShdw>
              </a:effectLst>
            </c:spPr>
          </c:dPt>
          <c:dPt>
            <c:idx val="1"/>
            <c:bubble3D val="0"/>
            <c:spPr>
              <a:solidFill>
                <a:schemeClr val="accent2"/>
              </a:solidFill>
              <a:ln>
                <a:noFill/>
              </a:ln>
              <a:effectLst>
                <a:outerShdw blurRad="63500" sx="102000" sy="102000" algn="ctr" rotWithShape="0">
                  <a:prstClr val="black">
                    <a:alpha val="20000"/>
                  </a:prstClr>
                </a:outerShdw>
              </a:effectLst>
            </c:spPr>
          </c:dPt>
          <c:dPt>
            <c:idx val="2"/>
            <c:bubble3D val="0"/>
            <c:spPr>
              <a:solidFill>
                <a:schemeClr val="accent3"/>
              </a:solidFill>
              <a:ln>
                <a:noFill/>
              </a:ln>
              <a:effectLst>
                <a:outerShdw blurRad="63500" sx="102000" sy="102000" algn="ctr" rotWithShape="0">
                  <a:prstClr val="black">
                    <a:alpha val="20000"/>
                  </a:prstClr>
                </a:outerShdw>
              </a:effectLst>
            </c:spPr>
          </c:dPt>
          <c:dPt>
            <c:idx val="3"/>
            <c:bubble3D val="0"/>
            <c:spPr>
              <a:solidFill>
                <a:schemeClr val="accent4"/>
              </a:solidFill>
              <a:ln>
                <a:noFill/>
              </a:ln>
              <a:effectLst>
                <a:outerShdw blurRad="63500" sx="102000" sy="102000" algn="ctr" rotWithShape="0">
                  <a:prstClr val="black">
                    <a:alpha val="20000"/>
                  </a:prstClr>
                </a:outerShdw>
              </a:effectLst>
            </c:spPr>
          </c:dPt>
          <c:dPt>
            <c:idx val="4"/>
            <c:bubble3D val="0"/>
            <c:spPr>
              <a:solidFill>
                <a:schemeClr val="accent5"/>
              </a:solidFill>
              <a:ln>
                <a:noFill/>
              </a:ln>
              <a:effectLst>
                <a:outerShdw blurRad="63500" sx="102000" sy="102000" algn="ctr" rotWithShape="0">
                  <a:prstClr val="black">
                    <a:alpha val="20000"/>
                  </a:prstClr>
                </a:outerShdw>
              </a:effectLst>
            </c:spPr>
          </c:dPt>
          <c:dLbls>
            <c:dLbl>
              <c:idx val="0"/>
              <c:layout>
                <c:manualLayout>
                  <c:x val="0.0354881706097967"/>
                  <c:y val="0.0877457297829406"/>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2"/>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3"/>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4"/>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5"/>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教授</c:v>
                </c:pt>
                <c:pt idx="1">
                  <c:v>副教授</c:v>
                </c:pt>
                <c:pt idx="2">
                  <c:v>讲师</c:v>
                </c:pt>
                <c:pt idx="3">
                  <c:v>助教</c:v>
                </c:pt>
                <c:pt idx="4">
                  <c:v>未评职称</c:v>
                </c:pt>
              </c:strCache>
            </c:strRef>
          </c:cat>
          <c:val>
            <c:numRef>
              <c:f>Sheet1!$B$2:$B$6</c:f>
              <c:numCache>
                <c:formatCode>General</c:formatCode>
                <c:ptCount val="5"/>
                <c:pt idx="0">
                  <c:v>36</c:v>
                </c:pt>
                <c:pt idx="1">
                  <c:v>131</c:v>
                </c:pt>
                <c:pt idx="2">
                  <c:v>158</c:v>
                </c:pt>
                <c:pt idx="3">
                  <c:v>127</c:v>
                </c:pt>
                <c:pt idx="4">
                  <c:v>105</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专任教师学位情况分布</c:v>
                </c:pt>
              </c:strCache>
            </c:strRef>
          </c:tx>
          <c:spPr/>
          <c:explosion val="0"/>
          <c:dPt>
            <c:idx val="0"/>
            <c:bubble3D val="0"/>
            <c:spPr>
              <a:solidFill>
                <a:schemeClr val="accent1"/>
              </a:solidFill>
              <a:ln>
                <a:noFill/>
              </a:ln>
              <a:effectLst>
                <a:outerShdw blurRad="63500" sx="102000" sy="102000" algn="ctr" rotWithShape="0">
                  <a:prstClr val="black">
                    <a:alpha val="20000"/>
                  </a:prstClr>
                </a:outerShdw>
              </a:effectLst>
            </c:spPr>
          </c:dPt>
          <c:dPt>
            <c:idx val="1"/>
            <c:bubble3D val="0"/>
            <c:spPr>
              <a:solidFill>
                <a:schemeClr val="accent2"/>
              </a:solidFill>
              <a:ln>
                <a:noFill/>
              </a:ln>
              <a:effectLst>
                <a:outerShdw blurRad="63500" sx="102000" sy="102000" algn="ctr" rotWithShape="0">
                  <a:prstClr val="black">
                    <a:alpha val="20000"/>
                  </a:prstClr>
                </a:outerShdw>
              </a:effectLst>
            </c:spPr>
          </c:dPt>
          <c:dPt>
            <c:idx val="2"/>
            <c:bubble3D val="0"/>
            <c:spPr>
              <a:solidFill>
                <a:schemeClr val="accent3"/>
              </a:solidFill>
              <a:ln>
                <a:noFill/>
              </a:ln>
              <a:effectLst>
                <a:outerShdw blurRad="63500" sx="102000" sy="102000" algn="ctr" rotWithShape="0">
                  <a:prstClr val="black">
                    <a:alpha val="20000"/>
                  </a:prstClr>
                </a:outerShdw>
              </a:effectLst>
            </c:spPr>
          </c:dPt>
          <c:dPt>
            <c:idx val="3"/>
            <c:bubble3D val="0"/>
            <c:spPr>
              <a:solidFill>
                <a:schemeClr val="accent4"/>
              </a:solidFill>
              <a:ln>
                <a:noFill/>
              </a:ln>
              <a:effectLst>
                <a:outerShdw blurRad="63500" sx="102000" sy="102000" algn="ctr" rotWithShape="0">
                  <a:prstClr val="black">
                    <a:alpha val="20000"/>
                  </a:prstClr>
                </a:outerShdw>
              </a:effectLst>
            </c:spPr>
          </c:dPt>
          <c:dLbls>
            <c:dLbl>
              <c:idx val="0"/>
              <c:layout>
                <c:manualLayout>
                  <c:x val="0.0818972591498441"/>
                  <c:y val="0.0318773699461409"/>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manualLayout>
                      <c:w val="0.229607746594453"/>
                      <c:h val="0.187538367096378"/>
                    </c:manualLayout>
                  </c15:layout>
                </c:ext>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2"/>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3"/>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4"/>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博士学位</c:v>
                </c:pt>
                <c:pt idx="1">
                  <c:v>硕士学位</c:v>
                </c:pt>
                <c:pt idx="2">
                  <c:v>学士学位</c:v>
                </c:pt>
                <c:pt idx="3">
                  <c:v>无学位</c:v>
                </c:pt>
              </c:strCache>
            </c:strRef>
          </c:cat>
          <c:val>
            <c:numRef>
              <c:f>Sheet1!$B$2:$B$5</c:f>
              <c:numCache>
                <c:formatCode>General</c:formatCode>
                <c:ptCount val="4"/>
                <c:pt idx="0">
                  <c:v>8</c:v>
                </c:pt>
                <c:pt idx="1">
                  <c:v>291</c:v>
                </c:pt>
                <c:pt idx="2">
                  <c:v>121</c:v>
                </c:pt>
                <c:pt idx="3">
                  <c:v>136</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专任教师年龄结构分布</c:v>
                </c:pt>
              </c:strCache>
            </c:strRef>
          </c:tx>
          <c:spPr/>
          <c:explosion val="0"/>
          <c:dPt>
            <c:idx val="0"/>
            <c:bubble3D val="0"/>
            <c:spPr>
              <a:solidFill>
                <a:schemeClr val="accent1">
                  <a:shade val="76667"/>
                </a:schemeClr>
              </a:solidFill>
              <a:ln>
                <a:noFill/>
              </a:ln>
              <a:effectLst>
                <a:outerShdw blurRad="63500" sx="102000" sy="102000" algn="ctr" rotWithShape="0">
                  <a:prstClr val="black">
                    <a:alpha val="20000"/>
                  </a:prstClr>
                </a:outerShdw>
              </a:effectLst>
            </c:spPr>
          </c:dPt>
          <c:dPt>
            <c:idx val="1"/>
            <c:bubble3D val="0"/>
            <c:spPr>
              <a:solidFill>
                <a:schemeClr val="accent2">
                  <a:shade val="76667"/>
                </a:schemeClr>
              </a:solidFill>
              <a:ln>
                <a:noFill/>
              </a:ln>
              <a:effectLst>
                <a:outerShdw blurRad="63500" sx="102000" sy="102000" algn="ctr" rotWithShape="0">
                  <a:prstClr val="black">
                    <a:alpha val="20000"/>
                  </a:prstClr>
                </a:outerShdw>
              </a:effectLst>
            </c:spPr>
          </c:dPt>
          <c:dPt>
            <c:idx val="2"/>
            <c:bubble3D val="0"/>
            <c:spPr>
              <a:solidFill>
                <a:schemeClr val="accent3">
                  <a:shade val="76667"/>
                </a:schemeClr>
              </a:solidFill>
              <a:ln>
                <a:noFill/>
              </a:ln>
              <a:effectLst>
                <a:outerShdw blurRad="63500" sx="102000" sy="102000" algn="ctr" rotWithShape="0">
                  <a:prstClr val="black">
                    <a:alpha val="20000"/>
                  </a:prstClr>
                </a:outerShdw>
              </a:effectLst>
            </c:spPr>
          </c:dPt>
          <c:dPt>
            <c:idx val="3"/>
            <c:bubble3D val="0"/>
            <c:spPr>
              <a:solidFill>
                <a:schemeClr val="accent4">
                  <a:shade val="76667"/>
                </a:schemeClr>
              </a:solidFill>
              <a:ln>
                <a:noFill/>
              </a:ln>
              <a:effectLst>
                <a:outerShdw blurRad="63500" sx="102000" sy="102000" algn="ctr" rotWithShape="0">
                  <a:prstClr val="black">
                    <a:alpha val="20000"/>
                  </a:prstClr>
                </a:outerShdw>
              </a:effectLst>
            </c:spPr>
          </c:dPt>
          <c:dPt>
            <c:idx val="4"/>
            <c:bubble3D val="0"/>
            <c:spPr>
              <a:solidFill>
                <a:schemeClr val="accent5">
                  <a:shade val="76667"/>
                </a:schemeClr>
              </a:solidFill>
              <a:ln>
                <a:noFill/>
              </a:ln>
              <a:effectLst>
                <a:outerShdw blurRad="63500" sx="102000" sy="102000" algn="ctr" rotWithShape="0">
                  <a:prstClr val="black">
                    <a:alpha val="20000"/>
                  </a:prstClr>
                </a:outerShdw>
              </a:effectLst>
            </c:spPr>
          </c:dPt>
          <c:dPt>
            <c:idx val="5"/>
            <c:bubble3D val="0"/>
            <c:spPr>
              <a:solidFill>
                <a:schemeClr val="accent6">
                  <a:shade val="76667"/>
                </a:schemeClr>
              </a:solidFill>
              <a:ln>
                <a:noFill/>
              </a:ln>
              <a:effectLst>
                <a:outerShdw blurRad="63500" sx="102000" sy="102000" algn="ctr" rotWithShape="0">
                  <a:prstClr val="black">
                    <a:alpha val="20000"/>
                  </a:prstClr>
                </a:outerShdw>
              </a:effectLst>
            </c:spPr>
          </c:dPt>
          <c:dPt>
            <c:idx val="6"/>
            <c:bubble3D val="0"/>
            <c:spPr>
              <a:solidFill>
                <a:schemeClr val="accent1">
                  <a:tint val="76667"/>
                </a:schemeClr>
              </a:solidFill>
              <a:ln>
                <a:noFill/>
              </a:ln>
              <a:effectLst>
                <a:outerShdw blurRad="63500" sx="102000" sy="102000" algn="ctr" rotWithShape="0">
                  <a:prstClr val="black">
                    <a:alpha val="20000"/>
                  </a:prstClr>
                </a:outerShdw>
              </a:effectLst>
            </c:spPr>
          </c:dPt>
          <c:dPt>
            <c:idx val="7"/>
            <c:bubble3D val="0"/>
            <c:spPr>
              <a:solidFill>
                <a:schemeClr val="accent2">
                  <a:tint val="76667"/>
                </a:schemeClr>
              </a:solidFill>
              <a:ln>
                <a:noFill/>
              </a:ln>
              <a:effectLst>
                <a:outerShdw blurRad="63500" sx="102000" sy="102000" algn="ctr" rotWithShape="0">
                  <a:prstClr val="black">
                    <a:alpha val="20000"/>
                  </a:prstClr>
                </a:outerShdw>
              </a:effectLst>
            </c:spPr>
          </c:dPt>
          <c:dPt>
            <c:idx val="8"/>
            <c:bubble3D val="0"/>
            <c:spPr>
              <a:solidFill>
                <a:schemeClr val="accent3">
                  <a:tint val="76667"/>
                </a:schemeClr>
              </a:solidFill>
              <a:ln>
                <a:noFill/>
              </a:ln>
              <a:effectLst>
                <a:outerShdw blurRad="63500" sx="102000" sy="102000" algn="ctr" rotWithShape="0">
                  <a:prstClr val="black">
                    <a:alpha val="20000"/>
                  </a:prstClr>
                </a:outerShdw>
              </a:effectLst>
            </c:spPr>
          </c:dPt>
          <c:dLbls>
            <c:dLbl>
              <c:idx val="0"/>
              <c:layout>
                <c:manualLayout>
                  <c:x val="0.050483172275908"/>
                  <c:y val="0.21031746031746"/>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hade val="76667"/>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0303232255914695"/>
                  <c:y val="-0.0589893000119138"/>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2">
                          <a:shade val="76667"/>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3">
                          <a:shade val="76667"/>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3"/>
              <c:layout>
                <c:manualLayout>
                  <c:x val="-0.0226591136287904"/>
                  <c:y val="0.0825892857142857"/>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4">
                          <a:shade val="76667"/>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ext>
              </c:extLst>
            </c:dLbl>
            <c:dLbl>
              <c:idx val="4"/>
              <c:layout>
                <c:manualLayout>
                  <c:x val="-0.155796170809148"/>
                  <c:y val="0.0637400793650794"/>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5">
                          <a:shade val="76667"/>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manualLayout>
                      <c:w val="0.202932355881373"/>
                      <c:h val="0.146577380952381"/>
                    </c:manualLayout>
                  </c15:layout>
                </c:ext>
              </c:extLst>
            </c:dLbl>
            <c:dLbl>
              <c:idx val="5"/>
              <c:layout>
                <c:manualLayout>
                  <c:x val="-0.131289570143286"/>
                  <c:y val="-0.0047630836787390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6">
                          <a:shade val="76667"/>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ext>
              </c:extLst>
            </c:dLbl>
            <c:dLbl>
              <c:idx val="6"/>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tint val="76667"/>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7"/>
              <c:layout>
                <c:manualLayout>
                  <c:x val="0.07080973008997"/>
                  <c:y val="0.0577734502429958"/>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2">
                          <a:tint val="76667"/>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ext>
              </c:extLst>
            </c:dLbl>
            <c:dLbl>
              <c:idx val="8"/>
              <c:layout>
                <c:manualLayout>
                  <c:x val="0.313062312562479"/>
                  <c:y val="0.067581487790157"/>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3">
                          <a:tint val="76667"/>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Sheet1!$A$2:$A$10</c:f>
              <c:strCache>
                <c:ptCount val="9"/>
                <c:pt idx="0">
                  <c:v>29岁及以下</c:v>
                </c:pt>
                <c:pt idx="1">
                  <c:v>30-34岁</c:v>
                </c:pt>
                <c:pt idx="2">
                  <c:v>35-39岁</c:v>
                </c:pt>
                <c:pt idx="3">
                  <c:v>40-44岁</c:v>
                </c:pt>
                <c:pt idx="4">
                  <c:v>45-49岁</c:v>
                </c:pt>
                <c:pt idx="5">
                  <c:v>50-54岁</c:v>
                </c:pt>
                <c:pt idx="6">
                  <c:v>55-59岁</c:v>
                </c:pt>
                <c:pt idx="7">
                  <c:v>60-64岁</c:v>
                </c:pt>
                <c:pt idx="8">
                  <c:v>65岁及以上</c:v>
                </c:pt>
              </c:strCache>
            </c:strRef>
          </c:cat>
          <c:val>
            <c:numRef>
              <c:f>Sheet1!$B$2:$B$10</c:f>
              <c:numCache>
                <c:formatCode>General</c:formatCode>
                <c:ptCount val="9"/>
                <c:pt idx="0">
                  <c:v>181</c:v>
                </c:pt>
                <c:pt idx="1">
                  <c:v>152</c:v>
                </c:pt>
                <c:pt idx="2">
                  <c:v>108</c:v>
                </c:pt>
                <c:pt idx="3">
                  <c:v>40</c:v>
                </c:pt>
                <c:pt idx="4">
                  <c:v>19</c:v>
                </c:pt>
                <c:pt idx="5">
                  <c:v>14</c:v>
                </c:pt>
                <c:pt idx="6">
                  <c:v>18</c:v>
                </c:pt>
                <c:pt idx="7">
                  <c:v>10</c:v>
                </c:pt>
                <c:pt idx="8">
                  <c:v>14</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专任教师讲授本科课程门次</c:v>
                </c:pt>
              </c:strCache>
            </c:strRef>
          </c:tx>
          <c:spPr/>
          <c:explosion val="0"/>
          <c:dPt>
            <c:idx val="0"/>
            <c:bubble3D val="0"/>
            <c:spPr>
              <a:solidFill>
                <a:schemeClr val="accent1"/>
              </a:solidFill>
              <a:ln>
                <a:noFill/>
              </a:ln>
              <a:effectLst>
                <a:outerShdw blurRad="63500" sx="102000" sy="102000" algn="ctr" rotWithShape="0">
                  <a:prstClr val="black">
                    <a:alpha val="20000"/>
                  </a:prstClr>
                </a:outerShdw>
              </a:effectLst>
            </c:spPr>
          </c:dPt>
          <c:dPt>
            <c:idx val="1"/>
            <c:bubble3D val="0"/>
            <c:spPr>
              <a:solidFill>
                <a:schemeClr val="accent2"/>
              </a:solidFill>
              <a:ln>
                <a:noFill/>
              </a:ln>
              <a:effectLst>
                <a:outerShdw blurRad="63500" sx="102000" sy="102000" algn="ctr" rotWithShape="0">
                  <a:prstClr val="black">
                    <a:alpha val="20000"/>
                  </a:prstClr>
                </a:outerShdw>
              </a:effectLst>
            </c:spPr>
          </c:dPt>
          <c:dPt>
            <c:idx val="2"/>
            <c:bubble3D val="0"/>
            <c:spPr>
              <a:solidFill>
                <a:schemeClr val="accent3"/>
              </a:solidFill>
              <a:ln>
                <a:noFill/>
              </a:ln>
              <a:effectLst>
                <a:outerShdw blurRad="63500" sx="102000" sy="102000" algn="ctr" rotWithShape="0">
                  <a:prstClr val="black">
                    <a:alpha val="20000"/>
                  </a:prstClr>
                </a:outerShdw>
              </a:effectLst>
            </c:spPr>
          </c:dPt>
          <c:dPt>
            <c:idx val="3"/>
            <c:bubble3D val="0"/>
            <c:spPr>
              <a:solidFill>
                <a:schemeClr val="accent4"/>
              </a:solidFill>
              <a:ln>
                <a:noFill/>
              </a:ln>
              <a:effectLst>
                <a:outerShdw blurRad="63500" sx="102000" sy="102000" algn="ctr" rotWithShape="0">
                  <a:prstClr val="black">
                    <a:alpha val="20000"/>
                  </a:prstClr>
                </a:outerShdw>
              </a:effectLst>
            </c:spPr>
          </c:dPt>
          <c:dPt>
            <c:idx val="4"/>
            <c:bubble3D val="0"/>
            <c:spPr>
              <a:solidFill>
                <a:schemeClr val="accent5"/>
              </a:solidFill>
              <a:ln>
                <a:noFill/>
              </a:ln>
              <a:effectLst>
                <a:outerShdw blurRad="63500" sx="102000" sy="102000" algn="ctr" rotWithShape="0">
                  <a:prstClr val="black">
                    <a:alpha val="20000"/>
                  </a:prstClr>
                </a:outerShdw>
              </a:effectLst>
            </c:spPr>
          </c:dPt>
          <c:dLbls>
            <c:dLbl>
              <c:idx val="0"/>
              <c:layout>
                <c:manualLayout>
                  <c:x val="0.0325727513227513"/>
                  <c:y val="0.0751904325792591"/>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2"/>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3"/>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4"/>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5"/>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正高级教授</c:v>
                </c:pt>
                <c:pt idx="1">
                  <c:v>副高级教授</c:v>
                </c:pt>
                <c:pt idx="2">
                  <c:v>讲师</c:v>
                </c:pt>
                <c:pt idx="3">
                  <c:v>助教</c:v>
                </c:pt>
                <c:pt idx="4">
                  <c:v>未评级</c:v>
                </c:pt>
              </c:strCache>
            </c:strRef>
          </c:cat>
          <c:val>
            <c:numRef>
              <c:f>Sheet1!$B$2:$B$6</c:f>
              <c:numCache>
                <c:formatCode>General</c:formatCode>
                <c:ptCount val="5"/>
                <c:pt idx="0">
                  <c:v>62</c:v>
                </c:pt>
                <c:pt idx="1">
                  <c:v>421</c:v>
                </c:pt>
                <c:pt idx="2">
                  <c:v>643</c:v>
                </c:pt>
                <c:pt idx="3">
                  <c:v>147</c:v>
                </c:pt>
                <c:pt idx="4">
                  <c:v>131</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tx>
            <c:strRef>
              <c:f>Sheet1!$B$1</c:f>
              <c:strCache>
                <c:ptCount val="1"/>
                <c:pt idx="0">
                  <c:v>学科专业布局</c:v>
                </c:pt>
              </c:strCache>
            </c:strRef>
          </c:tx>
          <c:dLbls>
            <c:delete val="1"/>
          </c:dLbls>
          <c:cat>
            <c:strRef>
              <c:f>Sheet1!$A$2:$A$6</c:f>
              <c:strCache>
                <c:ptCount val="5"/>
                <c:pt idx="0">
                  <c:v>经济学</c:v>
                </c:pt>
                <c:pt idx="1">
                  <c:v>文学</c:v>
                </c:pt>
                <c:pt idx="2">
                  <c:v>工学</c:v>
                </c:pt>
                <c:pt idx="3">
                  <c:v>管理学</c:v>
                </c:pt>
                <c:pt idx="4">
                  <c:v>艺术学</c:v>
                </c:pt>
              </c:strCache>
            </c:strRef>
          </c:cat>
          <c:val>
            <c:numRef>
              <c:f>Sheet1!$B$2:$B$6</c:f>
              <c:numCache>
                <c:formatCode>General</c:formatCode>
                <c:ptCount val="5"/>
                <c:pt idx="0">
                  <c:v>1</c:v>
                </c:pt>
                <c:pt idx="1">
                  <c:v>1</c:v>
                </c:pt>
                <c:pt idx="2">
                  <c:v>4</c:v>
                </c:pt>
                <c:pt idx="3">
                  <c:v>2</c:v>
                </c:pt>
                <c:pt idx="4">
                  <c:v>11</c:v>
                </c:pt>
              </c:numCache>
            </c:numRef>
          </c:val>
        </c:ser>
        <c:dLbls>
          <c:showLegendKey val="0"/>
          <c:showVal val="0"/>
          <c:showCatName val="0"/>
          <c:showSerName val="0"/>
          <c:showPercent val="0"/>
          <c:showBubbleSize val="0"/>
        </c:dLbls>
        <c:axId val="380964224"/>
        <c:axId val="380970112"/>
      </c:radarChart>
      <c:catAx>
        <c:axId val="380964224"/>
        <c:scaling>
          <c:orientation val="minMax"/>
        </c:scaling>
        <c:delete val="0"/>
        <c:axPos val="b"/>
        <c:majorGridlines/>
        <c:numFmt formatCode="m/d/yyyy"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80970112"/>
        <c:crosses val="autoZero"/>
        <c:auto val="1"/>
        <c:lblAlgn val="ctr"/>
        <c:lblOffset val="100"/>
        <c:noMultiLvlLbl val="0"/>
      </c:catAx>
      <c:valAx>
        <c:axId val="380970112"/>
        <c:scaling>
          <c:orientation val="minMax"/>
        </c:scaling>
        <c:delete val="0"/>
        <c:axPos val="l"/>
        <c:majorGridlines/>
        <c:numFmt formatCode="General" sourceLinked="1"/>
        <c:majorTickMark val="cross"/>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80964224"/>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5.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6.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05B7D6-BFB1-423A-ACB8-AA15AC6D1CF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3660</Words>
  <Characters>20864</Characters>
  <Lines>173</Lines>
  <Paragraphs>48</Paragraphs>
  <ScaleCrop>false</ScaleCrop>
  <LinksUpToDate>false</LinksUpToDate>
  <CharactersWithSpaces>24476</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2016-10-31T01:55:00Z</dcterms:created>
  <dc:creator>misoni M</dc:creator>
  <cp:lastModifiedBy>mison</cp:lastModifiedBy>
  <cp:lastPrinted>2016-12-19T01:23:00Z</cp:lastPrinted>
  <dcterms:modified xsi:type="dcterms:W3CDTF">2017-03-24T08:07:48Z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